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863" w:rsidRPr="009D2863" w:rsidRDefault="009D2863" w:rsidP="009D2863">
      <w:pPr>
        <w:spacing w:after="0" w:line="240" w:lineRule="auto"/>
        <w:jc w:val="center"/>
        <w:rPr>
          <w:rFonts w:ascii="Arial" w:eastAsia="Times New Roman" w:hAnsi="Arial" w:cs="Arial"/>
          <w:sz w:val="20"/>
          <w:szCs w:val="20"/>
          <w:lang w:eastAsia="es-CO"/>
        </w:rPr>
      </w:pPr>
      <w:r w:rsidRPr="009D2863">
        <w:rPr>
          <w:rFonts w:ascii="Arial" w:eastAsia="Times New Roman" w:hAnsi="Arial" w:cs="Arial"/>
          <w:b/>
          <w:bCs/>
          <w:sz w:val="24"/>
          <w:szCs w:val="24"/>
          <w:lang w:val="es-MX" w:eastAsia="es-CO"/>
        </w:rPr>
        <w:t>RESOLUCIÓN 221 DE 2021</w:t>
      </w:r>
    </w:p>
    <w:p w:rsidR="009D2863" w:rsidRPr="009D2863" w:rsidRDefault="009D2863" w:rsidP="009D2863">
      <w:pPr>
        <w:spacing w:after="0" w:line="240" w:lineRule="auto"/>
        <w:jc w:val="center"/>
        <w:rPr>
          <w:rFonts w:ascii="Arial" w:eastAsia="Times New Roman" w:hAnsi="Arial" w:cs="Arial"/>
          <w:sz w:val="20"/>
          <w:szCs w:val="20"/>
          <w:lang w:eastAsia="es-CO"/>
        </w:rPr>
      </w:pPr>
      <w:r w:rsidRPr="009D2863">
        <w:rPr>
          <w:rFonts w:ascii="Arial" w:eastAsia="Times New Roman" w:hAnsi="Arial" w:cs="Arial"/>
          <w:b/>
          <w:bCs/>
          <w:sz w:val="24"/>
          <w:szCs w:val="24"/>
          <w:lang w:val="es-MX" w:eastAsia="es-CO"/>
        </w:rPr>
        <w:t> </w:t>
      </w:r>
    </w:p>
    <w:p w:rsidR="009D2863" w:rsidRPr="009D2863" w:rsidRDefault="009D2863" w:rsidP="009D2863">
      <w:pPr>
        <w:spacing w:after="0" w:line="240" w:lineRule="auto"/>
        <w:jc w:val="center"/>
        <w:rPr>
          <w:rFonts w:ascii="Arial" w:eastAsia="Times New Roman" w:hAnsi="Arial" w:cs="Arial"/>
          <w:sz w:val="20"/>
          <w:szCs w:val="20"/>
          <w:lang w:eastAsia="es-CO"/>
        </w:rPr>
      </w:pPr>
      <w:r w:rsidRPr="009D2863">
        <w:rPr>
          <w:rFonts w:ascii="Arial" w:eastAsia="Times New Roman" w:hAnsi="Arial" w:cs="Arial"/>
          <w:b/>
          <w:bCs/>
          <w:sz w:val="24"/>
          <w:szCs w:val="24"/>
          <w:lang w:val="es-MX" w:eastAsia="es-CO"/>
        </w:rPr>
        <w:t>(</w:t>
      </w:r>
      <w:proofErr w:type="gramStart"/>
      <w:r w:rsidRPr="009D2863">
        <w:rPr>
          <w:rFonts w:ascii="Arial" w:eastAsia="Times New Roman" w:hAnsi="Arial" w:cs="Arial"/>
          <w:b/>
          <w:bCs/>
          <w:sz w:val="24"/>
          <w:szCs w:val="24"/>
          <w:lang w:val="es-MX" w:eastAsia="es-CO"/>
        </w:rPr>
        <w:t>Octubre</w:t>
      </w:r>
      <w:proofErr w:type="gramEnd"/>
      <w:r w:rsidRPr="009D2863">
        <w:rPr>
          <w:rFonts w:ascii="Arial" w:eastAsia="Times New Roman" w:hAnsi="Arial" w:cs="Arial"/>
          <w:b/>
          <w:bCs/>
          <w:sz w:val="24"/>
          <w:szCs w:val="24"/>
          <w:lang w:val="es-MX" w:eastAsia="es-CO"/>
        </w:rPr>
        <w:t xml:space="preserve"> 25)</w:t>
      </w:r>
    </w:p>
    <w:p w:rsidR="009D2863" w:rsidRPr="009D2863" w:rsidRDefault="009D2863" w:rsidP="009D2863">
      <w:pPr>
        <w:spacing w:after="0" w:line="240" w:lineRule="auto"/>
        <w:jc w:val="center"/>
        <w:rPr>
          <w:rFonts w:ascii="Arial" w:eastAsia="Times New Roman" w:hAnsi="Arial" w:cs="Arial"/>
          <w:sz w:val="20"/>
          <w:szCs w:val="20"/>
          <w:lang w:eastAsia="es-CO"/>
        </w:rPr>
      </w:pPr>
      <w:r w:rsidRPr="009D2863">
        <w:rPr>
          <w:rFonts w:ascii="Arial" w:eastAsia="Times New Roman" w:hAnsi="Arial" w:cs="Arial"/>
          <w:b/>
          <w:bCs/>
          <w:sz w:val="24"/>
          <w:szCs w:val="24"/>
          <w:lang w:val="es-MX" w:eastAsia="es-CO"/>
        </w:rPr>
        <w:t> </w:t>
      </w:r>
    </w:p>
    <w:p w:rsidR="009D2863" w:rsidRPr="009D2863" w:rsidRDefault="009D2863" w:rsidP="009D2863">
      <w:pPr>
        <w:spacing w:after="0" w:line="240" w:lineRule="auto"/>
        <w:jc w:val="center"/>
        <w:rPr>
          <w:rFonts w:ascii="Arial" w:eastAsia="Times New Roman" w:hAnsi="Arial" w:cs="Arial"/>
          <w:sz w:val="20"/>
          <w:szCs w:val="20"/>
          <w:lang w:eastAsia="es-CO"/>
        </w:rPr>
      </w:pPr>
      <w:r w:rsidRPr="009D2863">
        <w:rPr>
          <w:rFonts w:ascii="Arial" w:eastAsia="Times New Roman" w:hAnsi="Arial" w:cs="Arial"/>
          <w:b/>
          <w:bCs/>
          <w:i/>
          <w:iCs/>
          <w:sz w:val="24"/>
          <w:szCs w:val="24"/>
          <w:lang w:val="es-ES" w:eastAsia="es-CO"/>
        </w:rPr>
        <w:t>Por la cual se adiciona la Resolución </w:t>
      </w:r>
      <w:hyperlink r:id="rId4" w:history="1">
        <w:r w:rsidRPr="009D2863">
          <w:rPr>
            <w:rFonts w:ascii="Arial" w:eastAsia="Times New Roman" w:hAnsi="Arial" w:cs="Arial"/>
            <w:i/>
            <w:iCs/>
            <w:color w:val="0000FF"/>
            <w:sz w:val="24"/>
            <w:szCs w:val="24"/>
            <w:u w:val="single"/>
            <w:lang w:val="es-ES" w:eastAsia="es-CO"/>
          </w:rPr>
          <w:t>184</w:t>
        </w:r>
      </w:hyperlink>
      <w:r w:rsidRPr="009D2863">
        <w:rPr>
          <w:rFonts w:ascii="Arial" w:eastAsia="Times New Roman" w:hAnsi="Arial" w:cs="Arial"/>
          <w:b/>
          <w:bCs/>
          <w:i/>
          <w:iCs/>
          <w:sz w:val="24"/>
          <w:szCs w:val="24"/>
          <w:lang w:val="es-ES" w:eastAsia="es-CO"/>
        </w:rPr>
        <w:t> de 2020 de la Dirección General, y se establecen las mesas de seguimiento a los proyectos de inversión en el Instituto Distrital de Turismo</w:t>
      </w:r>
    </w:p>
    <w:p w:rsidR="009D2863" w:rsidRPr="009D2863" w:rsidRDefault="009D2863" w:rsidP="009D2863">
      <w:pPr>
        <w:spacing w:after="0" w:line="240" w:lineRule="auto"/>
        <w:jc w:val="center"/>
        <w:rPr>
          <w:rFonts w:ascii="Arial" w:eastAsia="Times New Roman" w:hAnsi="Arial" w:cs="Arial"/>
          <w:sz w:val="20"/>
          <w:szCs w:val="20"/>
          <w:lang w:eastAsia="es-CO"/>
        </w:rPr>
      </w:pPr>
      <w:r w:rsidRPr="009D2863">
        <w:rPr>
          <w:rFonts w:ascii="Arial" w:eastAsia="Times New Roman" w:hAnsi="Arial" w:cs="Arial"/>
          <w:b/>
          <w:bCs/>
          <w:sz w:val="24"/>
          <w:szCs w:val="24"/>
          <w:lang w:val="es-MX" w:eastAsia="es-CO"/>
        </w:rPr>
        <w:t> </w:t>
      </w:r>
    </w:p>
    <w:p w:rsidR="009D2863" w:rsidRPr="009D2863" w:rsidRDefault="009D2863" w:rsidP="009D2863">
      <w:pPr>
        <w:spacing w:after="0" w:line="240" w:lineRule="auto"/>
        <w:jc w:val="center"/>
        <w:rPr>
          <w:rFonts w:ascii="Arial" w:eastAsia="Times New Roman" w:hAnsi="Arial" w:cs="Arial"/>
          <w:sz w:val="20"/>
          <w:szCs w:val="20"/>
          <w:lang w:eastAsia="es-CO"/>
        </w:rPr>
      </w:pPr>
      <w:r w:rsidRPr="009D2863">
        <w:rPr>
          <w:rFonts w:ascii="Arial" w:eastAsia="Times New Roman" w:hAnsi="Arial" w:cs="Arial"/>
          <w:b/>
          <w:bCs/>
          <w:sz w:val="24"/>
          <w:szCs w:val="24"/>
          <w:lang w:val="es-MX" w:eastAsia="es-CO"/>
        </w:rPr>
        <w:t>LA DIRECTORA GENERAL DEL INSTITUTO DISTRITAL DE TURISMO</w:t>
      </w:r>
    </w:p>
    <w:p w:rsidR="009D2863" w:rsidRPr="009D2863" w:rsidRDefault="009D2863" w:rsidP="009D2863">
      <w:pPr>
        <w:spacing w:after="0" w:line="240" w:lineRule="auto"/>
        <w:jc w:val="center"/>
        <w:rPr>
          <w:rFonts w:ascii="Arial" w:eastAsia="Times New Roman" w:hAnsi="Arial" w:cs="Arial"/>
          <w:b/>
          <w:bCs/>
          <w:lang w:eastAsia="es-CO"/>
        </w:rPr>
      </w:pPr>
      <w:r w:rsidRPr="009D2863">
        <w:rPr>
          <w:rFonts w:ascii="Arial" w:eastAsia="Times New Roman" w:hAnsi="Arial" w:cs="Arial"/>
          <w:sz w:val="24"/>
          <w:szCs w:val="24"/>
          <w:lang w:val="es-MX" w:eastAsia="es-CO"/>
        </w:rPr>
        <w:t> </w:t>
      </w:r>
    </w:p>
    <w:p w:rsidR="009D2863" w:rsidRPr="009D2863" w:rsidRDefault="009D2863" w:rsidP="009D2863">
      <w:pPr>
        <w:spacing w:after="0" w:line="240" w:lineRule="auto"/>
        <w:jc w:val="center"/>
        <w:rPr>
          <w:rFonts w:ascii="Arial" w:eastAsia="Times New Roman" w:hAnsi="Arial" w:cs="Arial"/>
          <w:lang w:eastAsia="es-CO"/>
        </w:rPr>
      </w:pPr>
      <w:r w:rsidRPr="009D2863">
        <w:rPr>
          <w:rFonts w:ascii="Arial" w:eastAsia="Times New Roman" w:hAnsi="Arial" w:cs="Arial"/>
          <w:b/>
          <w:bCs/>
          <w:sz w:val="24"/>
          <w:szCs w:val="24"/>
          <w:lang w:val="es-ES_tradnl" w:eastAsia="es-CO"/>
        </w:rPr>
        <w:t>En uso de sus facultades legales y en especial las que le confieren el Acuerdo Distrital No. 275 de 2007 del Concejo de Bogotá, D.C., los Acuerdos No. 001 de 2007, 008 de 2016 y 006 de 2019 de la Junta Directiva del IDT y</w:t>
      </w:r>
    </w:p>
    <w:p w:rsidR="009D2863" w:rsidRPr="009D2863" w:rsidRDefault="009D2863" w:rsidP="009D2863">
      <w:pPr>
        <w:spacing w:after="0" w:line="240" w:lineRule="auto"/>
        <w:jc w:val="center"/>
        <w:rPr>
          <w:rFonts w:ascii="Arial" w:eastAsia="Times New Roman" w:hAnsi="Arial" w:cs="Arial"/>
          <w:lang w:eastAsia="es-CO"/>
        </w:rPr>
      </w:pPr>
      <w:r w:rsidRPr="009D2863">
        <w:rPr>
          <w:rFonts w:ascii="Arial" w:eastAsia="Times New Roman" w:hAnsi="Arial" w:cs="Arial"/>
          <w:sz w:val="24"/>
          <w:szCs w:val="24"/>
          <w:lang w:val="es-ES" w:eastAsia="es-CO"/>
        </w:rPr>
        <w:t> </w:t>
      </w:r>
    </w:p>
    <w:p w:rsidR="009D2863" w:rsidRPr="009D2863" w:rsidRDefault="009D2863" w:rsidP="009D2863">
      <w:pPr>
        <w:spacing w:after="0" w:line="240" w:lineRule="auto"/>
        <w:jc w:val="center"/>
        <w:outlineLvl w:val="1"/>
        <w:rPr>
          <w:rFonts w:ascii="Arial" w:eastAsia="Times New Roman" w:hAnsi="Arial" w:cs="Arial"/>
          <w:lang w:eastAsia="es-CO"/>
        </w:rPr>
      </w:pPr>
      <w:r w:rsidRPr="009D2863">
        <w:rPr>
          <w:rFonts w:ascii="Arial" w:eastAsia="Times New Roman" w:hAnsi="Arial" w:cs="Arial"/>
          <w:sz w:val="24"/>
          <w:szCs w:val="24"/>
          <w:lang w:val="es-MX" w:eastAsia="es-CO"/>
        </w:rPr>
        <w:t>CONSIDERANDO:</w:t>
      </w:r>
    </w:p>
    <w:p w:rsidR="009D2863" w:rsidRPr="009D2863" w:rsidRDefault="009D2863" w:rsidP="009D2863">
      <w:pPr>
        <w:spacing w:after="0" w:line="240" w:lineRule="auto"/>
        <w:jc w:val="both"/>
        <w:rPr>
          <w:rFonts w:ascii="Arial" w:eastAsia="Times New Roman" w:hAnsi="Arial" w:cs="Arial"/>
          <w:sz w:val="20"/>
          <w:szCs w:val="20"/>
          <w:lang w:eastAsia="es-CO"/>
        </w:rPr>
      </w:pPr>
      <w:r w:rsidRPr="009D2863">
        <w:rPr>
          <w:rFonts w:ascii="Arial" w:eastAsia="Times New Roman" w:hAnsi="Arial" w:cs="Arial"/>
          <w:sz w:val="24"/>
          <w:szCs w:val="24"/>
          <w:lang w:val="es-MX" w:eastAsia="es-CO"/>
        </w:rPr>
        <w:t> </w:t>
      </w:r>
    </w:p>
    <w:p w:rsidR="009D2863" w:rsidRPr="009D2863" w:rsidRDefault="009D2863" w:rsidP="009D2863">
      <w:pPr>
        <w:spacing w:after="0" w:line="240" w:lineRule="auto"/>
        <w:jc w:val="both"/>
        <w:outlineLvl w:val="1"/>
        <w:rPr>
          <w:rFonts w:ascii="Arial" w:eastAsia="Times New Roman" w:hAnsi="Arial" w:cs="Arial"/>
          <w:lang w:eastAsia="es-CO"/>
        </w:rPr>
      </w:pPr>
      <w:r w:rsidRPr="009D2863">
        <w:rPr>
          <w:rFonts w:ascii="Arial" w:eastAsia="Times New Roman" w:hAnsi="Arial" w:cs="Arial"/>
          <w:sz w:val="24"/>
          <w:szCs w:val="24"/>
          <w:lang w:val="es-ES" w:eastAsia="es-CO"/>
        </w:rPr>
        <w:t>Que de conformidad con el artículo </w:t>
      </w:r>
      <w:hyperlink r:id="rId5" w:anchor="209" w:history="1">
        <w:r w:rsidRPr="009D2863">
          <w:rPr>
            <w:rFonts w:ascii="Arial" w:eastAsia="Times New Roman" w:hAnsi="Arial" w:cs="Arial"/>
            <w:color w:val="0000FF"/>
            <w:sz w:val="24"/>
            <w:szCs w:val="24"/>
            <w:u w:val="single"/>
            <w:lang w:val="es-ES" w:eastAsia="es-CO"/>
          </w:rPr>
          <w:t>209</w:t>
        </w:r>
      </w:hyperlink>
      <w:r w:rsidRPr="009D2863">
        <w:rPr>
          <w:rFonts w:ascii="Arial" w:eastAsia="Times New Roman" w:hAnsi="Arial" w:cs="Arial"/>
          <w:sz w:val="24"/>
          <w:szCs w:val="24"/>
          <w:lang w:val="es-ES" w:eastAsia="es-CO"/>
        </w:rPr>
        <w:t> de la Constitución Política,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rsidR="009D2863" w:rsidRPr="009D2863" w:rsidRDefault="009D2863" w:rsidP="009D2863">
      <w:pPr>
        <w:spacing w:after="0" w:line="240" w:lineRule="auto"/>
        <w:jc w:val="both"/>
        <w:outlineLvl w:val="1"/>
        <w:rPr>
          <w:rFonts w:ascii="Arial" w:eastAsia="Times New Roman" w:hAnsi="Arial" w:cs="Arial"/>
          <w:lang w:eastAsia="es-CO"/>
        </w:rPr>
      </w:pPr>
      <w:r w:rsidRPr="009D2863">
        <w:rPr>
          <w:rFonts w:ascii="Arial" w:eastAsia="Times New Roman" w:hAnsi="Arial" w:cs="Arial"/>
          <w:sz w:val="24"/>
          <w:szCs w:val="24"/>
          <w:lang w:val="es-ES" w:eastAsia="es-CO"/>
        </w:rPr>
        <w:t> </w:t>
      </w:r>
    </w:p>
    <w:p w:rsidR="009D2863" w:rsidRPr="009D2863" w:rsidRDefault="009D2863" w:rsidP="009D2863">
      <w:pPr>
        <w:spacing w:after="0" w:line="240" w:lineRule="auto"/>
        <w:jc w:val="both"/>
        <w:outlineLvl w:val="1"/>
        <w:rPr>
          <w:rFonts w:ascii="Arial" w:eastAsia="Times New Roman" w:hAnsi="Arial" w:cs="Arial"/>
          <w:lang w:eastAsia="es-CO"/>
        </w:rPr>
      </w:pPr>
      <w:r w:rsidRPr="009D2863">
        <w:rPr>
          <w:rFonts w:ascii="Arial" w:eastAsia="Times New Roman" w:hAnsi="Arial" w:cs="Arial"/>
          <w:sz w:val="24"/>
          <w:szCs w:val="24"/>
          <w:lang w:val="es-ES" w:eastAsia="es-CO"/>
        </w:rPr>
        <w:t>Que el Instituto Distrital de Turismo es un establecimiento público del orden distrital, con personería jurídica, autonomía administrativa y financiera, y patrimonio propio, adscrito a la Secretaría Distrital de Desarrollo Económico.</w:t>
      </w:r>
    </w:p>
    <w:p w:rsidR="009D2863" w:rsidRPr="009D2863" w:rsidRDefault="009D2863" w:rsidP="009D2863">
      <w:pPr>
        <w:spacing w:after="0" w:line="240" w:lineRule="auto"/>
        <w:jc w:val="both"/>
        <w:outlineLvl w:val="1"/>
        <w:rPr>
          <w:rFonts w:ascii="Arial" w:eastAsia="Times New Roman" w:hAnsi="Arial" w:cs="Arial"/>
          <w:lang w:eastAsia="es-CO"/>
        </w:rPr>
      </w:pPr>
      <w:r w:rsidRPr="009D2863">
        <w:rPr>
          <w:rFonts w:ascii="Arial" w:eastAsia="Times New Roman" w:hAnsi="Arial" w:cs="Arial"/>
          <w:sz w:val="24"/>
          <w:szCs w:val="24"/>
          <w:lang w:val="es-ES" w:eastAsia="es-CO"/>
        </w:rPr>
        <w:t> </w:t>
      </w:r>
    </w:p>
    <w:p w:rsidR="009D2863" w:rsidRPr="009D2863" w:rsidRDefault="009D2863" w:rsidP="009D2863">
      <w:pPr>
        <w:spacing w:after="0" w:line="240" w:lineRule="auto"/>
        <w:jc w:val="both"/>
        <w:outlineLvl w:val="1"/>
        <w:rPr>
          <w:rFonts w:ascii="Arial" w:eastAsia="Times New Roman" w:hAnsi="Arial" w:cs="Arial"/>
          <w:lang w:eastAsia="es-CO"/>
        </w:rPr>
      </w:pPr>
      <w:r w:rsidRPr="009D2863">
        <w:rPr>
          <w:rFonts w:ascii="Arial" w:eastAsia="Times New Roman" w:hAnsi="Arial" w:cs="Arial"/>
          <w:sz w:val="24"/>
          <w:szCs w:val="24"/>
          <w:lang w:val="es-ES" w:eastAsia="es-CO"/>
        </w:rPr>
        <w:t>Que el 23 de noviembre de 2020, mediante Resolución </w:t>
      </w:r>
      <w:hyperlink r:id="rId6" w:history="1">
        <w:r w:rsidRPr="009D2863">
          <w:rPr>
            <w:rFonts w:ascii="Arial" w:eastAsia="Times New Roman" w:hAnsi="Arial" w:cs="Arial"/>
            <w:color w:val="0000FF"/>
            <w:sz w:val="24"/>
            <w:szCs w:val="24"/>
            <w:u w:val="single"/>
            <w:lang w:val="es-ES" w:eastAsia="es-CO"/>
          </w:rPr>
          <w:t>184</w:t>
        </w:r>
      </w:hyperlink>
      <w:r w:rsidRPr="009D2863">
        <w:rPr>
          <w:rFonts w:ascii="Arial" w:eastAsia="Times New Roman" w:hAnsi="Arial" w:cs="Arial"/>
          <w:sz w:val="24"/>
          <w:szCs w:val="24"/>
          <w:lang w:val="es-ES" w:eastAsia="es-CO"/>
        </w:rPr>
        <w:t>, la Directora General del Instituto Distrital de Turismo designó los gerentes de los cinco (5) proyectos de inversión formulados por el Instituto en la vigencia 2020 para atender los compromisos y metas establecidas en el Plan de Desarrollo Distrital 2020-2024 “</w:t>
      </w:r>
      <w:r w:rsidRPr="009D2863">
        <w:rPr>
          <w:rFonts w:ascii="Arial" w:eastAsia="Times New Roman" w:hAnsi="Arial" w:cs="Arial"/>
          <w:i/>
          <w:iCs/>
          <w:sz w:val="24"/>
          <w:szCs w:val="24"/>
          <w:lang w:val="es-ES" w:eastAsia="es-CO"/>
        </w:rPr>
        <w:t>Un nuevo contrato social y ambiental para la Bogotá del siglo XXI</w:t>
      </w:r>
      <w:r w:rsidRPr="009D2863">
        <w:rPr>
          <w:rFonts w:ascii="Arial" w:eastAsia="Times New Roman" w:hAnsi="Arial" w:cs="Arial"/>
          <w:sz w:val="24"/>
          <w:szCs w:val="24"/>
          <w:lang w:val="es-ES" w:eastAsia="es-CO"/>
        </w:rPr>
        <w:t>”, se establecieron sus responsabilidades y se dictaron otras disposiciones.</w:t>
      </w:r>
    </w:p>
    <w:p w:rsidR="009D2863" w:rsidRPr="009D2863" w:rsidRDefault="009D2863" w:rsidP="009D2863">
      <w:pPr>
        <w:spacing w:after="0" w:line="240" w:lineRule="auto"/>
        <w:jc w:val="both"/>
        <w:outlineLvl w:val="1"/>
        <w:rPr>
          <w:rFonts w:ascii="Arial" w:eastAsia="Times New Roman" w:hAnsi="Arial" w:cs="Arial"/>
          <w:lang w:eastAsia="es-CO"/>
        </w:rPr>
      </w:pPr>
      <w:r w:rsidRPr="009D2863">
        <w:rPr>
          <w:rFonts w:ascii="Arial" w:eastAsia="Times New Roman" w:hAnsi="Arial" w:cs="Arial"/>
          <w:sz w:val="24"/>
          <w:szCs w:val="24"/>
          <w:lang w:val="es-ES" w:eastAsia="es-CO"/>
        </w:rPr>
        <w:t> </w:t>
      </w:r>
    </w:p>
    <w:p w:rsidR="009D2863" w:rsidRPr="009D2863" w:rsidRDefault="009D2863" w:rsidP="009D2863">
      <w:pPr>
        <w:spacing w:after="0" w:line="240" w:lineRule="auto"/>
        <w:jc w:val="both"/>
        <w:outlineLvl w:val="1"/>
        <w:rPr>
          <w:rFonts w:ascii="Arial" w:eastAsia="Times New Roman" w:hAnsi="Arial" w:cs="Arial"/>
          <w:lang w:eastAsia="es-CO"/>
        </w:rPr>
      </w:pPr>
      <w:r w:rsidRPr="009D2863">
        <w:rPr>
          <w:rFonts w:ascii="Arial" w:eastAsia="Times New Roman" w:hAnsi="Arial" w:cs="Arial"/>
          <w:sz w:val="24"/>
          <w:szCs w:val="24"/>
          <w:lang w:val="es-ES" w:eastAsia="es-CO"/>
        </w:rPr>
        <w:t>Que el 10 de junio de 2021, mediante Resolución </w:t>
      </w:r>
      <w:hyperlink r:id="rId7" w:history="1">
        <w:r w:rsidRPr="009D2863">
          <w:rPr>
            <w:rFonts w:ascii="Arial" w:eastAsia="Times New Roman" w:hAnsi="Arial" w:cs="Arial"/>
            <w:color w:val="0000FF"/>
            <w:sz w:val="24"/>
            <w:szCs w:val="24"/>
            <w:u w:val="single"/>
            <w:lang w:val="es-ES" w:eastAsia="es-CO"/>
          </w:rPr>
          <w:t>93</w:t>
        </w:r>
      </w:hyperlink>
      <w:r w:rsidRPr="009D2863">
        <w:rPr>
          <w:rFonts w:ascii="Arial" w:eastAsia="Times New Roman" w:hAnsi="Arial" w:cs="Arial"/>
          <w:sz w:val="24"/>
          <w:szCs w:val="24"/>
          <w:lang w:val="es-ES" w:eastAsia="es-CO"/>
        </w:rPr>
        <w:t>, la Directora General del Instituto Distrital de Turismo modificó el artículo </w:t>
      </w:r>
      <w:hyperlink r:id="rId8" w:anchor="3" w:history="1">
        <w:r w:rsidRPr="009D2863">
          <w:rPr>
            <w:rFonts w:ascii="Arial" w:eastAsia="Times New Roman" w:hAnsi="Arial" w:cs="Arial"/>
            <w:color w:val="0000FF"/>
            <w:sz w:val="24"/>
            <w:szCs w:val="24"/>
            <w:u w:val="single"/>
            <w:lang w:val="es-ES" w:eastAsia="es-CO"/>
          </w:rPr>
          <w:t>tercero</w:t>
        </w:r>
      </w:hyperlink>
      <w:r w:rsidRPr="009D2863">
        <w:rPr>
          <w:rFonts w:ascii="Arial" w:eastAsia="Times New Roman" w:hAnsi="Arial" w:cs="Arial"/>
          <w:sz w:val="24"/>
          <w:szCs w:val="24"/>
          <w:lang w:val="es-ES" w:eastAsia="es-CO"/>
        </w:rPr>
        <w:t> de la Resolución 184 del 23 de noviembre de 2020 de la Dirección General, designando la gerencia al sexto proyecto de inversión formulado por el Instituto en la vigencia 2020 para atender los compromisos establecidos en el Plan de Desarrollo Distrital frente al Fondo de Desarrollo Turístico de Bogotá - FONDETUR.</w:t>
      </w:r>
    </w:p>
    <w:p w:rsidR="009D2863" w:rsidRPr="009D2863" w:rsidRDefault="009D2863" w:rsidP="009D2863">
      <w:pPr>
        <w:spacing w:after="0" w:line="240" w:lineRule="auto"/>
        <w:jc w:val="both"/>
        <w:outlineLvl w:val="1"/>
        <w:rPr>
          <w:rFonts w:ascii="Arial" w:eastAsia="Times New Roman" w:hAnsi="Arial" w:cs="Arial"/>
          <w:lang w:eastAsia="es-CO"/>
        </w:rPr>
      </w:pPr>
      <w:r w:rsidRPr="009D2863">
        <w:rPr>
          <w:rFonts w:ascii="Arial" w:eastAsia="Times New Roman" w:hAnsi="Arial" w:cs="Arial"/>
          <w:sz w:val="24"/>
          <w:szCs w:val="24"/>
          <w:lang w:val="es-ES" w:eastAsia="es-CO"/>
        </w:rPr>
        <w:t> </w:t>
      </w:r>
    </w:p>
    <w:p w:rsidR="009D2863" w:rsidRPr="009D2863" w:rsidRDefault="009D2863" w:rsidP="009D2863">
      <w:pPr>
        <w:spacing w:after="0" w:line="240" w:lineRule="auto"/>
        <w:jc w:val="both"/>
        <w:outlineLvl w:val="1"/>
        <w:rPr>
          <w:rFonts w:ascii="Arial" w:eastAsia="Times New Roman" w:hAnsi="Arial" w:cs="Arial"/>
          <w:lang w:eastAsia="es-CO"/>
        </w:rPr>
      </w:pPr>
      <w:r w:rsidRPr="009D2863">
        <w:rPr>
          <w:rFonts w:ascii="Arial" w:eastAsia="Times New Roman" w:hAnsi="Arial" w:cs="Arial"/>
          <w:sz w:val="24"/>
          <w:szCs w:val="24"/>
          <w:lang w:val="es-ES" w:eastAsia="es-CO"/>
        </w:rPr>
        <w:t>Que el artículo </w:t>
      </w:r>
      <w:hyperlink r:id="rId9" w:anchor="4" w:history="1">
        <w:r w:rsidRPr="009D2863">
          <w:rPr>
            <w:rFonts w:ascii="Arial" w:eastAsia="Times New Roman" w:hAnsi="Arial" w:cs="Arial"/>
            <w:color w:val="0000FF"/>
            <w:sz w:val="24"/>
            <w:szCs w:val="24"/>
            <w:u w:val="single"/>
            <w:lang w:val="es-ES" w:eastAsia="es-CO"/>
          </w:rPr>
          <w:t>cuarto</w:t>
        </w:r>
      </w:hyperlink>
      <w:r w:rsidRPr="009D2863">
        <w:rPr>
          <w:rFonts w:ascii="Arial" w:eastAsia="Times New Roman" w:hAnsi="Arial" w:cs="Arial"/>
          <w:sz w:val="24"/>
          <w:szCs w:val="24"/>
          <w:lang w:val="es-ES" w:eastAsia="es-CO"/>
        </w:rPr>
        <w:t> de la Resolución 184 de 2020 establece, entre otras responsabilidades del gerente de proyecto, “</w:t>
      </w:r>
      <w:r w:rsidRPr="009D2863">
        <w:rPr>
          <w:rFonts w:ascii="Arial" w:eastAsia="Times New Roman" w:hAnsi="Arial" w:cs="Arial"/>
          <w:i/>
          <w:iCs/>
          <w:sz w:val="24"/>
          <w:szCs w:val="24"/>
          <w:lang w:val="es-ES" w:eastAsia="es-CO"/>
        </w:rPr>
        <w:t>realizar las actividades de programación, seguimiento y control del proyecto de inversión a su cargo, según los lineamientos y periodicidad que señale la Oficina Asesora de Planeación</w:t>
      </w:r>
      <w:r w:rsidRPr="009D2863">
        <w:rPr>
          <w:rFonts w:ascii="Arial" w:eastAsia="Times New Roman" w:hAnsi="Arial" w:cs="Arial"/>
          <w:sz w:val="24"/>
          <w:szCs w:val="24"/>
          <w:lang w:val="es-ES" w:eastAsia="es-CO"/>
        </w:rPr>
        <w:t>” y “</w:t>
      </w:r>
      <w:r w:rsidRPr="009D2863">
        <w:rPr>
          <w:rFonts w:ascii="Arial" w:eastAsia="Times New Roman" w:hAnsi="Arial" w:cs="Arial"/>
          <w:i/>
          <w:iCs/>
          <w:sz w:val="24"/>
          <w:szCs w:val="24"/>
          <w:lang w:val="es-ES" w:eastAsia="es-CO"/>
        </w:rPr>
        <w:t>vigilar la ejecución presupuestal del proyecto a través del seguimiento al cumplimiento de las etapas de la contratación derivada y suscrita con cargo al proyecto, desde la fase precontractual hasta su liquidación</w:t>
      </w:r>
      <w:r w:rsidRPr="009D2863">
        <w:rPr>
          <w:rFonts w:ascii="Arial" w:eastAsia="Times New Roman" w:hAnsi="Arial" w:cs="Arial"/>
          <w:sz w:val="24"/>
          <w:szCs w:val="24"/>
          <w:lang w:val="es-ES" w:eastAsia="es-CO"/>
        </w:rPr>
        <w:t>”.</w:t>
      </w:r>
    </w:p>
    <w:p w:rsidR="009D2863" w:rsidRPr="009D2863" w:rsidRDefault="009D2863" w:rsidP="009D2863">
      <w:pPr>
        <w:spacing w:after="0" w:line="240" w:lineRule="auto"/>
        <w:jc w:val="both"/>
        <w:outlineLvl w:val="1"/>
        <w:rPr>
          <w:rFonts w:ascii="Arial" w:eastAsia="Times New Roman" w:hAnsi="Arial" w:cs="Arial"/>
          <w:lang w:eastAsia="es-CO"/>
        </w:rPr>
      </w:pPr>
      <w:r w:rsidRPr="009D2863">
        <w:rPr>
          <w:rFonts w:ascii="Arial" w:eastAsia="Times New Roman" w:hAnsi="Arial" w:cs="Arial"/>
          <w:sz w:val="24"/>
          <w:szCs w:val="24"/>
          <w:lang w:val="es-ES" w:eastAsia="es-CO"/>
        </w:rPr>
        <w:lastRenderedPageBreak/>
        <w:t> </w:t>
      </w:r>
    </w:p>
    <w:p w:rsidR="009D2863" w:rsidRPr="009D2863" w:rsidRDefault="009D2863" w:rsidP="009D2863">
      <w:pPr>
        <w:spacing w:after="0" w:line="240" w:lineRule="auto"/>
        <w:jc w:val="both"/>
        <w:outlineLvl w:val="1"/>
        <w:rPr>
          <w:rFonts w:ascii="Arial" w:eastAsia="Times New Roman" w:hAnsi="Arial" w:cs="Arial"/>
          <w:lang w:eastAsia="es-CO"/>
        </w:rPr>
      </w:pPr>
      <w:r w:rsidRPr="009D2863">
        <w:rPr>
          <w:rFonts w:ascii="Arial" w:eastAsia="Times New Roman" w:hAnsi="Arial" w:cs="Arial"/>
          <w:sz w:val="24"/>
          <w:szCs w:val="24"/>
          <w:lang w:val="es-ES" w:eastAsia="es-CO"/>
        </w:rPr>
        <w:t>Que, según lo previsto por el artículo </w:t>
      </w:r>
      <w:hyperlink r:id="rId10" w:anchor="5" w:history="1">
        <w:r w:rsidRPr="009D2863">
          <w:rPr>
            <w:rFonts w:ascii="Arial" w:eastAsia="Times New Roman" w:hAnsi="Arial" w:cs="Arial"/>
            <w:color w:val="0000FF"/>
            <w:sz w:val="24"/>
            <w:szCs w:val="24"/>
            <w:u w:val="single"/>
            <w:lang w:val="es-ES" w:eastAsia="es-CO"/>
          </w:rPr>
          <w:t>5º</w:t>
        </w:r>
      </w:hyperlink>
      <w:r w:rsidRPr="009D2863">
        <w:rPr>
          <w:rFonts w:ascii="Arial" w:eastAsia="Times New Roman" w:hAnsi="Arial" w:cs="Arial"/>
          <w:sz w:val="24"/>
          <w:szCs w:val="24"/>
          <w:lang w:val="es-ES" w:eastAsia="es-CO"/>
        </w:rPr>
        <w:t> del Acuerdo 008 de 2016, </w:t>
      </w:r>
      <w:r w:rsidRPr="009D2863">
        <w:rPr>
          <w:rFonts w:ascii="Arial" w:eastAsia="Times New Roman" w:hAnsi="Arial" w:cs="Arial"/>
          <w:i/>
          <w:iCs/>
          <w:sz w:val="24"/>
          <w:szCs w:val="24"/>
          <w:lang w:val="es-ES" w:eastAsia="es-CO"/>
        </w:rPr>
        <w:t>“por el cual se modifica la estructura organizacional del Instituto Distrital de Turismo, y se dictan otras disposiciones,</w:t>
      </w:r>
      <w:r w:rsidRPr="009D2863">
        <w:rPr>
          <w:rFonts w:ascii="Arial" w:eastAsia="Times New Roman" w:hAnsi="Arial" w:cs="Arial"/>
          <w:sz w:val="24"/>
          <w:szCs w:val="24"/>
          <w:lang w:val="es-ES" w:eastAsia="es-CO"/>
        </w:rPr>
        <w:t> corresponde a la Oficina Asesora de Planeación asesorar la formulación de los proyectos de inversión y realizar el seguimiento a la ejecución de los mismos, para lo cual es necesario establecer mesas de trabajo mensuales, para validar o identificar obstáculos y retrasos que impidan el cumplimiento de los cronogramas previstos para el debido cumplimiento de los propósitos trazados para los proyectos de inversión, así como velar por la oportuna ejecución presupuestal y desempeño de los planes operativos para el logro de las metas establecidas en los mismos.</w:t>
      </w:r>
    </w:p>
    <w:p w:rsidR="009D2863" w:rsidRPr="009D2863" w:rsidRDefault="009D2863" w:rsidP="009D2863">
      <w:pPr>
        <w:spacing w:after="0" w:line="240" w:lineRule="auto"/>
        <w:jc w:val="both"/>
        <w:outlineLvl w:val="1"/>
        <w:rPr>
          <w:rFonts w:ascii="Arial" w:eastAsia="Times New Roman" w:hAnsi="Arial" w:cs="Arial"/>
          <w:lang w:eastAsia="es-CO"/>
        </w:rPr>
      </w:pPr>
      <w:r w:rsidRPr="009D2863">
        <w:rPr>
          <w:rFonts w:ascii="Arial" w:eastAsia="Times New Roman" w:hAnsi="Arial" w:cs="Arial"/>
          <w:sz w:val="24"/>
          <w:szCs w:val="24"/>
          <w:lang w:val="es-ES" w:eastAsia="es-CO"/>
        </w:rPr>
        <w:t> </w:t>
      </w:r>
    </w:p>
    <w:p w:rsidR="009D2863" w:rsidRPr="009D2863" w:rsidRDefault="009D2863" w:rsidP="009D2863">
      <w:pPr>
        <w:spacing w:after="0" w:line="240" w:lineRule="auto"/>
        <w:jc w:val="both"/>
        <w:outlineLvl w:val="1"/>
        <w:rPr>
          <w:rFonts w:ascii="Arial" w:eastAsia="Times New Roman" w:hAnsi="Arial" w:cs="Arial"/>
          <w:lang w:eastAsia="es-CO"/>
        </w:rPr>
      </w:pPr>
      <w:r w:rsidRPr="009D2863">
        <w:rPr>
          <w:rFonts w:ascii="Arial" w:eastAsia="Times New Roman" w:hAnsi="Arial" w:cs="Arial"/>
          <w:sz w:val="24"/>
          <w:szCs w:val="24"/>
          <w:lang w:val="es-ES" w:eastAsia="es-CO"/>
        </w:rPr>
        <w:t>Que, para el adecuado seguimiento a los proyectos de inversión, se requiere que a todas las mesas de trabajo lideradas por la Oficina Asesora de Planeación asistan de manera permanente los gerentes de los proyectos, los subdirectores, los jefes de oficina, asesores y líderes operativos que tengan directa responsabilidad en la gestión para la ejecución de recursos del presupuesto de inversión.</w:t>
      </w:r>
    </w:p>
    <w:p w:rsidR="009D2863" w:rsidRPr="009D2863" w:rsidRDefault="009D2863" w:rsidP="009D2863">
      <w:pPr>
        <w:spacing w:after="0" w:line="240" w:lineRule="auto"/>
        <w:jc w:val="both"/>
        <w:outlineLvl w:val="1"/>
        <w:rPr>
          <w:rFonts w:ascii="Arial" w:eastAsia="Times New Roman" w:hAnsi="Arial" w:cs="Arial"/>
          <w:lang w:eastAsia="es-CO"/>
        </w:rPr>
      </w:pPr>
      <w:r w:rsidRPr="009D2863">
        <w:rPr>
          <w:rFonts w:ascii="Arial" w:eastAsia="Times New Roman" w:hAnsi="Arial" w:cs="Arial"/>
          <w:sz w:val="24"/>
          <w:szCs w:val="24"/>
          <w:lang w:val="es-ES" w:eastAsia="es-CO"/>
        </w:rPr>
        <w:t> </w:t>
      </w:r>
    </w:p>
    <w:p w:rsidR="009D2863" w:rsidRPr="009D2863" w:rsidRDefault="009D2863" w:rsidP="009D2863">
      <w:pPr>
        <w:spacing w:after="0" w:line="240" w:lineRule="auto"/>
        <w:jc w:val="both"/>
        <w:outlineLvl w:val="1"/>
        <w:rPr>
          <w:rFonts w:ascii="Arial" w:eastAsia="Times New Roman" w:hAnsi="Arial" w:cs="Arial"/>
          <w:lang w:eastAsia="es-CO"/>
        </w:rPr>
      </w:pPr>
      <w:r w:rsidRPr="009D2863">
        <w:rPr>
          <w:rFonts w:ascii="Arial" w:eastAsia="Times New Roman" w:hAnsi="Arial" w:cs="Arial"/>
          <w:sz w:val="24"/>
          <w:szCs w:val="24"/>
          <w:lang w:val="es-ES" w:eastAsia="es-CO"/>
        </w:rPr>
        <w:t>Que, como consecuencia de lo anterior, se debe adicionar un artículo </w:t>
      </w:r>
      <w:hyperlink r:id="rId11" w:anchor="5" w:history="1">
        <w:r w:rsidRPr="009D2863">
          <w:rPr>
            <w:rFonts w:ascii="Arial" w:eastAsia="Times New Roman" w:hAnsi="Arial" w:cs="Arial"/>
            <w:color w:val="0000FF"/>
            <w:sz w:val="24"/>
            <w:szCs w:val="24"/>
            <w:u w:val="single"/>
            <w:lang w:val="es-ES" w:eastAsia="es-CO"/>
          </w:rPr>
          <w:t>quinto</w:t>
        </w:r>
      </w:hyperlink>
      <w:r w:rsidRPr="009D2863">
        <w:rPr>
          <w:rFonts w:ascii="Arial" w:eastAsia="Times New Roman" w:hAnsi="Arial" w:cs="Arial"/>
          <w:sz w:val="24"/>
          <w:szCs w:val="24"/>
          <w:lang w:val="es-ES" w:eastAsia="es-CO"/>
        </w:rPr>
        <w:t> a la Resolución 184 de 2020, para establecer la realización de las mesas de seguimiento a los proyectos de inversión.</w:t>
      </w:r>
    </w:p>
    <w:p w:rsidR="009D2863" w:rsidRPr="009D2863" w:rsidRDefault="009D2863" w:rsidP="009D2863">
      <w:pPr>
        <w:spacing w:after="0" w:line="240" w:lineRule="auto"/>
        <w:jc w:val="both"/>
        <w:outlineLvl w:val="1"/>
        <w:rPr>
          <w:rFonts w:ascii="Arial" w:eastAsia="Times New Roman" w:hAnsi="Arial" w:cs="Arial"/>
          <w:lang w:eastAsia="es-CO"/>
        </w:rPr>
      </w:pPr>
      <w:r w:rsidRPr="009D2863">
        <w:rPr>
          <w:rFonts w:ascii="Arial" w:eastAsia="Times New Roman" w:hAnsi="Arial" w:cs="Arial"/>
          <w:sz w:val="24"/>
          <w:szCs w:val="24"/>
          <w:lang w:val="es-ES" w:eastAsia="es-CO"/>
        </w:rPr>
        <w:t> </w:t>
      </w:r>
    </w:p>
    <w:p w:rsidR="009D2863" w:rsidRPr="009D2863" w:rsidRDefault="009D2863" w:rsidP="009D2863">
      <w:pPr>
        <w:spacing w:after="0" w:line="240" w:lineRule="auto"/>
        <w:jc w:val="both"/>
        <w:outlineLvl w:val="1"/>
        <w:rPr>
          <w:rFonts w:ascii="Arial" w:eastAsia="Times New Roman" w:hAnsi="Arial" w:cs="Arial"/>
          <w:lang w:eastAsia="es-CO"/>
        </w:rPr>
      </w:pPr>
      <w:proofErr w:type="gramStart"/>
      <w:r w:rsidRPr="009D2863">
        <w:rPr>
          <w:rFonts w:ascii="Arial" w:eastAsia="Times New Roman" w:hAnsi="Arial" w:cs="Arial"/>
          <w:sz w:val="24"/>
          <w:szCs w:val="24"/>
          <w:lang w:val="es-ES" w:eastAsia="es-CO"/>
        </w:rPr>
        <w:t>Que</w:t>
      </w:r>
      <w:proofErr w:type="gramEnd"/>
      <w:r w:rsidRPr="009D2863">
        <w:rPr>
          <w:rFonts w:ascii="Arial" w:eastAsia="Times New Roman" w:hAnsi="Arial" w:cs="Arial"/>
          <w:sz w:val="24"/>
          <w:szCs w:val="24"/>
          <w:lang w:val="es-ES" w:eastAsia="es-CO"/>
        </w:rPr>
        <w:t xml:space="preserve"> en mérito de lo expuesto,</w:t>
      </w:r>
    </w:p>
    <w:p w:rsidR="009D2863" w:rsidRPr="009D2863" w:rsidRDefault="009D2863" w:rsidP="009D2863">
      <w:pPr>
        <w:spacing w:after="0" w:line="240" w:lineRule="auto"/>
        <w:jc w:val="both"/>
        <w:rPr>
          <w:rFonts w:ascii="Arial" w:eastAsia="Times New Roman" w:hAnsi="Arial" w:cs="Arial"/>
          <w:lang w:eastAsia="es-CO"/>
        </w:rPr>
      </w:pPr>
      <w:r w:rsidRPr="009D2863">
        <w:rPr>
          <w:rFonts w:ascii="Arial" w:eastAsia="Times New Roman" w:hAnsi="Arial" w:cs="Arial"/>
          <w:sz w:val="24"/>
          <w:szCs w:val="24"/>
          <w:lang w:val="es-ES" w:eastAsia="es-CO"/>
        </w:rPr>
        <w:t> </w:t>
      </w:r>
    </w:p>
    <w:p w:rsidR="009D2863" w:rsidRPr="009D2863" w:rsidRDefault="009D2863" w:rsidP="009D2863">
      <w:pPr>
        <w:spacing w:after="0" w:line="240" w:lineRule="auto"/>
        <w:jc w:val="center"/>
        <w:outlineLvl w:val="1"/>
        <w:rPr>
          <w:rFonts w:ascii="Arial" w:eastAsia="Times New Roman" w:hAnsi="Arial" w:cs="Arial"/>
          <w:lang w:eastAsia="es-CO"/>
        </w:rPr>
      </w:pPr>
      <w:r w:rsidRPr="009D2863">
        <w:rPr>
          <w:rFonts w:ascii="Arial" w:eastAsia="Times New Roman" w:hAnsi="Arial" w:cs="Arial"/>
          <w:sz w:val="24"/>
          <w:szCs w:val="24"/>
          <w:lang w:val="es-MX" w:eastAsia="es-CO"/>
        </w:rPr>
        <w:t>RESUELVE:</w:t>
      </w:r>
    </w:p>
    <w:p w:rsidR="009D2863" w:rsidRPr="009D2863" w:rsidRDefault="009D2863" w:rsidP="009D2863">
      <w:pPr>
        <w:spacing w:after="0" w:line="240" w:lineRule="auto"/>
        <w:jc w:val="both"/>
        <w:rPr>
          <w:rFonts w:ascii="Arial" w:eastAsia="Times New Roman" w:hAnsi="Arial" w:cs="Arial"/>
          <w:lang w:eastAsia="es-CO"/>
        </w:rPr>
      </w:pPr>
      <w:r w:rsidRPr="009D2863">
        <w:rPr>
          <w:rFonts w:ascii="Arial" w:eastAsia="Times New Roman" w:hAnsi="Arial" w:cs="Arial"/>
          <w:b/>
          <w:bCs/>
          <w:sz w:val="24"/>
          <w:szCs w:val="24"/>
          <w:lang w:val="es-ES" w:eastAsia="es-CO"/>
        </w:rPr>
        <w:t> </w:t>
      </w:r>
    </w:p>
    <w:p w:rsidR="009D2863" w:rsidRPr="009D2863" w:rsidRDefault="009D2863" w:rsidP="009D2863">
      <w:pPr>
        <w:spacing w:after="0" w:line="240" w:lineRule="auto"/>
        <w:jc w:val="both"/>
        <w:rPr>
          <w:rFonts w:ascii="Arial" w:eastAsia="Times New Roman" w:hAnsi="Arial" w:cs="Arial"/>
          <w:lang w:eastAsia="es-CO"/>
        </w:rPr>
      </w:pPr>
      <w:r w:rsidRPr="009D2863">
        <w:rPr>
          <w:rFonts w:ascii="Arial" w:eastAsia="Times New Roman" w:hAnsi="Arial" w:cs="Arial"/>
          <w:b/>
          <w:bCs/>
          <w:sz w:val="24"/>
          <w:szCs w:val="24"/>
          <w:lang w:val="es-ES" w:eastAsia="es-CO"/>
        </w:rPr>
        <w:t>Artículo</w:t>
      </w:r>
      <w:r w:rsidRPr="009D2863">
        <w:rPr>
          <w:rFonts w:ascii="Arial" w:eastAsia="Times New Roman" w:hAnsi="Arial" w:cs="Arial"/>
          <w:lang w:eastAsia="es-CO"/>
        </w:rPr>
        <w:t> </w:t>
      </w:r>
      <w:r w:rsidRPr="009D2863">
        <w:rPr>
          <w:rFonts w:ascii="Arial" w:eastAsia="Times New Roman" w:hAnsi="Arial" w:cs="Arial"/>
          <w:b/>
          <w:bCs/>
          <w:sz w:val="24"/>
          <w:szCs w:val="24"/>
          <w:lang w:val="es-ES" w:eastAsia="es-CO"/>
        </w:rPr>
        <w:t>1. </w:t>
      </w:r>
      <w:r w:rsidRPr="009D2863">
        <w:rPr>
          <w:rFonts w:ascii="Arial" w:eastAsia="Times New Roman" w:hAnsi="Arial" w:cs="Arial"/>
          <w:sz w:val="24"/>
          <w:szCs w:val="24"/>
          <w:lang w:val="es-ES" w:eastAsia="es-CO"/>
        </w:rPr>
        <w:t>Adicionar</w:t>
      </w:r>
      <w:r w:rsidRPr="009D2863">
        <w:rPr>
          <w:rFonts w:ascii="Arial" w:eastAsia="Times New Roman" w:hAnsi="Arial" w:cs="Arial"/>
          <w:b/>
          <w:bCs/>
          <w:sz w:val="24"/>
          <w:szCs w:val="24"/>
          <w:lang w:val="es-ES" w:eastAsia="es-CO"/>
        </w:rPr>
        <w:t> </w:t>
      </w:r>
      <w:r w:rsidRPr="009D2863">
        <w:rPr>
          <w:rFonts w:ascii="Arial" w:eastAsia="Times New Roman" w:hAnsi="Arial" w:cs="Arial"/>
          <w:sz w:val="24"/>
          <w:szCs w:val="24"/>
          <w:lang w:val="es-ES" w:eastAsia="es-CO"/>
        </w:rPr>
        <w:t>la Resolución 184 del 23 de noviembre de 2020 de la Dirección General, que tendrá un </w:t>
      </w:r>
      <w:r w:rsidRPr="009D2863">
        <w:rPr>
          <w:rFonts w:ascii="Arial" w:eastAsia="Times New Roman" w:hAnsi="Arial" w:cs="Arial"/>
          <w:b/>
          <w:bCs/>
          <w:sz w:val="24"/>
          <w:szCs w:val="24"/>
          <w:lang w:val="es-ES" w:eastAsia="es-CO"/>
        </w:rPr>
        <w:t>ARTÍCULO </w:t>
      </w:r>
      <w:hyperlink r:id="rId12" w:anchor="5" w:history="1">
        <w:r w:rsidRPr="009D2863">
          <w:rPr>
            <w:rFonts w:ascii="Arial" w:eastAsia="Times New Roman" w:hAnsi="Arial" w:cs="Arial"/>
            <w:b/>
            <w:bCs/>
            <w:color w:val="0000FF"/>
            <w:sz w:val="24"/>
            <w:szCs w:val="24"/>
            <w:u w:val="single"/>
            <w:lang w:val="es-ES" w:eastAsia="es-CO"/>
          </w:rPr>
          <w:t>QUINTO</w:t>
        </w:r>
      </w:hyperlink>
      <w:r w:rsidRPr="009D2863">
        <w:rPr>
          <w:rFonts w:ascii="Arial" w:eastAsia="Times New Roman" w:hAnsi="Arial" w:cs="Arial"/>
          <w:sz w:val="24"/>
          <w:szCs w:val="24"/>
          <w:lang w:val="es-ES" w:eastAsia="es-CO"/>
        </w:rPr>
        <w:t>, del siguiente tenor:</w:t>
      </w:r>
    </w:p>
    <w:p w:rsidR="009D2863" w:rsidRPr="009D2863" w:rsidRDefault="009D2863" w:rsidP="009D2863">
      <w:pPr>
        <w:spacing w:after="0" w:line="240" w:lineRule="auto"/>
        <w:jc w:val="both"/>
        <w:rPr>
          <w:rFonts w:ascii="Arial" w:eastAsia="Times New Roman" w:hAnsi="Arial" w:cs="Arial"/>
          <w:lang w:eastAsia="es-CO"/>
        </w:rPr>
      </w:pPr>
      <w:r w:rsidRPr="009D2863">
        <w:rPr>
          <w:rFonts w:ascii="Arial" w:eastAsia="Times New Roman" w:hAnsi="Arial" w:cs="Arial"/>
          <w:sz w:val="24"/>
          <w:szCs w:val="24"/>
          <w:lang w:val="es-ES" w:eastAsia="es-CO"/>
        </w:rPr>
        <w:t> </w:t>
      </w:r>
    </w:p>
    <w:p w:rsidR="009D2863" w:rsidRPr="009D2863" w:rsidRDefault="009D2863" w:rsidP="009D2863">
      <w:pPr>
        <w:spacing w:after="0" w:line="240" w:lineRule="auto"/>
        <w:jc w:val="both"/>
        <w:rPr>
          <w:rFonts w:ascii="Arial" w:eastAsia="Times New Roman" w:hAnsi="Arial" w:cs="Arial"/>
          <w:lang w:eastAsia="es-CO"/>
        </w:rPr>
      </w:pPr>
      <w:r w:rsidRPr="009D2863">
        <w:rPr>
          <w:rFonts w:ascii="Arial" w:eastAsia="Times New Roman" w:hAnsi="Arial" w:cs="Arial"/>
          <w:i/>
          <w:iCs/>
          <w:sz w:val="24"/>
          <w:szCs w:val="24"/>
          <w:lang w:val="es-ES" w:eastAsia="es-CO"/>
        </w:rPr>
        <w:t>“</w:t>
      </w:r>
      <w:r w:rsidRPr="009D2863">
        <w:rPr>
          <w:rFonts w:ascii="Arial" w:eastAsia="Times New Roman" w:hAnsi="Arial" w:cs="Arial"/>
          <w:b/>
          <w:bCs/>
          <w:i/>
          <w:iCs/>
          <w:sz w:val="24"/>
          <w:szCs w:val="24"/>
          <w:lang w:val="es-ES" w:eastAsia="es-CO"/>
        </w:rPr>
        <w:t>ARTÍCULO QUINTO. </w:t>
      </w:r>
      <w:r w:rsidRPr="009D2863">
        <w:rPr>
          <w:rFonts w:ascii="Arial" w:eastAsia="Times New Roman" w:hAnsi="Arial" w:cs="Arial"/>
          <w:i/>
          <w:iCs/>
          <w:sz w:val="24"/>
          <w:szCs w:val="24"/>
          <w:lang w:val="es-ES" w:eastAsia="es-CO"/>
        </w:rPr>
        <w:t>La Oficina Asesora de Planeación realizará el seguimiento, control y vigilancia a la ejecución de los proyectos de inversión, para lo cual convocará, la segunda semana de cada mes, una mesa de trabajo con cada uno de los </w:t>
      </w:r>
      <w:r w:rsidRPr="009D2863">
        <w:rPr>
          <w:rFonts w:ascii="Arial" w:eastAsia="Times New Roman" w:hAnsi="Arial" w:cs="Arial"/>
          <w:b/>
          <w:bCs/>
          <w:i/>
          <w:iCs/>
          <w:sz w:val="24"/>
          <w:szCs w:val="24"/>
          <w:lang w:val="es-ES" w:eastAsia="es-CO"/>
        </w:rPr>
        <w:t>gerentes</w:t>
      </w:r>
      <w:r w:rsidRPr="009D2863">
        <w:rPr>
          <w:rFonts w:ascii="Arial" w:eastAsia="Times New Roman" w:hAnsi="Arial" w:cs="Arial"/>
          <w:i/>
          <w:iCs/>
          <w:sz w:val="24"/>
          <w:szCs w:val="24"/>
          <w:lang w:val="es-ES" w:eastAsia="es-CO"/>
        </w:rPr>
        <w:t xml:space="preserve"> de los proyectos de </w:t>
      </w:r>
      <w:proofErr w:type="spellStart"/>
      <w:r w:rsidRPr="009D2863">
        <w:rPr>
          <w:rFonts w:ascii="Arial" w:eastAsia="Times New Roman" w:hAnsi="Arial" w:cs="Arial"/>
          <w:i/>
          <w:iCs/>
          <w:sz w:val="24"/>
          <w:szCs w:val="24"/>
          <w:lang w:val="es-ES" w:eastAsia="es-CO"/>
        </w:rPr>
        <w:t>que</w:t>
      </w:r>
      <w:proofErr w:type="spellEnd"/>
      <w:r w:rsidRPr="009D2863">
        <w:rPr>
          <w:rFonts w:ascii="Arial" w:eastAsia="Times New Roman" w:hAnsi="Arial" w:cs="Arial"/>
          <w:i/>
          <w:iCs/>
          <w:sz w:val="24"/>
          <w:szCs w:val="24"/>
          <w:lang w:val="es-ES" w:eastAsia="es-CO"/>
        </w:rPr>
        <w:t xml:space="preserve"> trata el artículo tercero de este acto administrativo.</w:t>
      </w:r>
    </w:p>
    <w:p w:rsidR="009D2863" w:rsidRPr="009D2863" w:rsidRDefault="009D2863" w:rsidP="009D2863">
      <w:pPr>
        <w:spacing w:after="0" w:line="240" w:lineRule="auto"/>
        <w:jc w:val="both"/>
        <w:rPr>
          <w:rFonts w:ascii="Arial" w:eastAsia="Times New Roman" w:hAnsi="Arial" w:cs="Arial"/>
          <w:lang w:eastAsia="es-CO"/>
        </w:rPr>
      </w:pPr>
      <w:r w:rsidRPr="009D2863">
        <w:rPr>
          <w:rFonts w:ascii="Arial" w:eastAsia="Times New Roman" w:hAnsi="Arial" w:cs="Arial"/>
          <w:i/>
          <w:iCs/>
          <w:sz w:val="24"/>
          <w:szCs w:val="24"/>
          <w:lang w:val="es-ES" w:eastAsia="es-CO"/>
        </w:rPr>
        <w:t> </w:t>
      </w:r>
    </w:p>
    <w:p w:rsidR="009D2863" w:rsidRPr="009D2863" w:rsidRDefault="009D2863" w:rsidP="009D2863">
      <w:pPr>
        <w:spacing w:after="0" w:line="240" w:lineRule="auto"/>
        <w:jc w:val="both"/>
        <w:rPr>
          <w:rFonts w:ascii="Arial" w:eastAsia="Times New Roman" w:hAnsi="Arial" w:cs="Arial"/>
          <w:lang w:eastAsia="es-CO"/>
        </w:rPr>
      </w:pPr>
      <w:r w:rsidRPr="009D2863">
        <w:rPr>
          <w:rFonts w:ascii="Arial" w:eastAsia="Times New Roman" w:hAnsi="Arial" w:cs="Arial"/>
          <w:i/>
          <w:iCs/>
          <w:sz w:val="24"/>
          <w:szCs w:val="24"/>
          <w:lang w:val="es-ES" w:eastAsia="es-CO"/>
        </w:rPr>
        <w:t>En las mesas de trabajo, se validará o identificará los obstáculos y retrasos que impidan el cumplimiento de los cronogramas previstos para la oportuna ejecución presupuestal y desempeño de los planes operativos para el logro de las metas establecidas en los proyectos de inversión.</w:t>
      </w:r>
    </w:p>
    <w:p w:rsidR="009D2863" w:rsidRPr="009D2863" w:rsidRDefault="009D2863" w:rsidP="009D2863">
      <w:pPr>
        <w:spacing w:after="0" w:line="240" w:lineRule="auto"/>
        <w:jc w:val="both"/>
        <w:rPr>
          <w:rFonts w:ascii="Arial" w:eastAsia="Times New Roman" w:hAnsi="Arial" w:cs="Arial"/>
          <w:lang w:eastAsia="es-CO"/>
        </w:rPr>
      </w:pPr>
      <w:r w:rsidRPr="009D2863">
        <w:rPr>
          <w:rFonts w:ascii="Arial" w:eastAsia="Times New Roman" w:hAnsi="Arial" w:cs="Arial"/>
          <w:i/>
          <w:iCs/>
          <w:sz w:val="24"/>
          <w:szCs w:val="24"/>
          <w:lang w:val="es-ES" w:eastAsia="es-CO"/>
        </w:rPr>
        <w:t> </w:t>
      </w:r>
    </w:p>
    <w:p w:rsidR="009D2863" w:rsidRPr="009D2863" w:rsidRDefault="009D2863" w:rsidP="009D2863">
      <w:pPr>
        <w:spacing w:after="0" w:line="240" w:lineRule="auto"/>
        <w:jc w:val="both"/>
        <w:rPr>
          <w:rFonts w:ascii="Arial" w:eastAsia="Times New Roman" w:hAnsi="Arial" w:cs="Arial"/>
          <w:lang w:eastAsia="es-CO"/>
        </w:rPr>
      </w:pPr>
      <w:r w:rsidRPr="009D2863">
        <w:rPr>
          <w:rFonts w:ascii="Arial" w:eastAsia="Times New Roman" w:hAnsi="Arial" w:cs="Arial"/>
          <w:i/>
          <w:iCs/>
          <w:sz w:val="24"/>
          <w:szCs w:val="24"/>
          <w:lang w:val="es-ES" w:eastAsia="es-CO"/>
        </w:rPr>
        <w:t>La asistencia a las mesas de seguimiento será obligatoria para los gerentes de los proyectos y deberá contar con la participación de los demás funcionarios y colaboradores que tengan directa responsabilidad en la gestión asociada a la ejecución de recursos del presupuesto de inversión.</w:t>
      </w:r>
    </w:p>
    <w:p w:rsidR="009D2863" w:rsidRPr="009D2863" w:rsidRDefault="009D2863" w:rsidP="009D2863">
      <w:pPr>
        <w:spacing w:after="0" w:line="240" w:lineRule="auto"/>
        <w:jc w:val="both"/>
        <w:rPr>
          <w:rFonts w:ascii="Arial" w:eastAsia="Times New Roman" w:hAnsi="Arial" w:cs="Arial"/>
          <w:lang w:eastAsia="es-CO"/>
        </w:rPr>
      </w:pPr>
      <w:r w:rsidRPr="009D2863">
        <w:rPr>
          <w:rFonts w:ascii="Arial" w:eastAsia="Times New Roman" w:hAnsi="Arial" w:cs="Arial"/>
          <w:i/>
          <w:iCs/>
          <w:sz w:val="24"/>
          <w:szCs w:val="24"/>
          <w:lang w:val="es-ES" w:eastAsia="es-CO"/>
        </w:rPr>
        <w:t> </w:t>
      </w:r>
    </w:p>
    <w:p w:rsidR="009D2863" w:rsidRPr="009D2863" w:rsidRDefault="009D2863" w:rsidP="009D2863">
      <w:pPr>
        <w:spacing w:after="0" w:line="240" w:lineRule="auto"/>
        <w:jc w:val="both"/>
        <w:rPr>
          <w:rFonts w:ascii="Arial" w:eastAsia="Times New Roman" w:hAnsi="Arial" w:cs="Arial"/>
          <w:lang w:eastAsia="es-CO"/>
        </w:rPr>
      </w:pPr>
      <w:r w:rsidRPr="009D2863">
        <w:rPr>
          <w:rFonts w:ascii="Arial" w:eastAsia="Times New Roman" w:hAnsi="Arial" w:cs="Arial"/>
          <w:b/>
          <w:bCs/>
          <w:i/>
          <w:iCs/>
          <w:sz w:val="24"/>
          <w:szCs w:val="24"/>
          <w:lang w:val="es-ES" w:eastAsia="es-CO"/>
        </w:rPr>
        <w:t>PARÁGRAFO</w:t>
      </w:r>
      <w:r w:rsidRPr="009D2863">
        <w:rPr>
          <w:rFonts w:ascii="Arial" w:eastAsia="Times New Roman" w:hAnsi="Arial" w:cs="Arial"/>
          <w:i/>
          <w:iCs/>
          <w:sz w:val="24"/>
          <w:szCs w:val="24"/>
          <w:lang w:val="es-ES" w:eastAsia="es-CO"/>
        </w:rPr>
        <w:t xml:space="preserve">. Del resultado de las mesas de trabajo de </w:t>
      </w:r>
      <w:proofErr w:type="spellStart"/>
      <w:r w:rsidRPr="009D2863">
        <w:rPr>
          <w:rFonts w:ascii="Arial" w:eastAsia="Times New Roman" w:hAnsi="Arial" w:cs="Arial"/>
          <w:i/>
          <w:iCs/>
          <w:sz w:val="24"/>
          <w:szCs w:val="24"/>
          <w:lang w:val="es-ES" w:eastAsia="es-CO"/>
        </w:rPr>
        <w:t>que</w:t>
      </w:r>
      <w:proofErr w:type="spellEnd"/>
      <w:r w:rsidRPr="009D2863">
        <w:rPr>
          <w:rFonts w:ascii="Arial" w:eastAsia="Times New Roman" w:hAnsi="Arial" w:cs="Arial"/>
          <w:i/>
          <w:iCs/>
          <w:sz w:val="24"/>
          <w:szCs w:val="24"/>
          <w:lang w:val="es-ES" w:eastAsia="es-CO"/>
        </w:rPr>
        <w:t xml:space="preserve"> trata este artículo se realizará seguimiento en la tercera semana del mes, en reunión de nivel directivo </w:t>
      </w:r>
      <w:r w:rsidRPr="009D2863">
        <w:rPr>
          <w:rFonts w:ascii="Arial" w:eastAsia="Times New Roman" w:hAnsi="Arial" w:cs="Arial"/>
          <w:i/>
          <w:iCs/>
          <w:sz w:val="24"/>
          <w:szCs w:val="24"/>
          <w:lang w:val="es-ES" w:eastAsia="es-CO"/>
        </w:rPr>
        <w:lastRenderedPageBreak/>
        <w:t>que se denominará seguimiento directivo a presupuesto y metas, para lo cual la Oficina Asesora de Planeación presentará el informe correspondiente.”</w:t>
      </w:r>
    </w:p>
    <w:p w:rsidR="009D2863" w:rsidRPr="009D2863" w:rsidRDefault="009D2863" w:rsidP="009D2863">
      <w:pPr>
        <w:spacing w:after="0" w:line="240" w:lineRule="auto"/>
        <w:jc w:val="both"/>
        <w:rPr>
          <w:rFonts w:ascii="Arial" w:eastAsia="Times New Roman" w:hAnsi="Arial" w:cs="Arial"/>
          <w:lang w:eastAsia="es-CO"/>
        </w:rPr>
      </w:pPr>
      <w:r w:rsidRPr="009D2863">
        <w:rPr>
          <w:rFonts w:ascii="Arial" w:eastAsia="Times New Roman" w:hAnsi="Arial" w:cs="Arial"/>
          <w:i/>
          <w:iCs/>
          <w:sz w:val="24"/>
          <w:szCs w:val="24"/>
          <w:lang w:val="es-ES" w:eastAsia="es-CO"/>
        </w:rPr>
        <w:t> </w:t>
      </w:r>
    </w:p>
    <w:p w:rsidR="009D2863" w:rsidRPr="009D2863" w:rsidRDefault="009D2863" w:rsidP="009D2863">
      <w:pPr>
        <w:spacing w:after="0" w:line="240" w:lineRule="auto"/>
        <w:jc w:val="both"/>
        <w:rPr>
          <w:rFonts w:ascii="Arial" w:eastAsia="Times New Roman" w:hAnsi="Arial" w:cs="Arial"/>
          <w:lang w:eastAsia="es-CO"/>
        </w:rPr>
      </w:pPr>
      <w:r w:rsidRPr="009D2863">
        <w:rPr>
          <w:rFonts w:ascii="Arial" w:eastAsia="Times New Roman" w:hAnsi="Arial" w:cs="Arial"/>
          <w:b/>
          <w:bCs/>
          <w:sz w:val="24"/>
          <w:szCs w:val="24"/>
          <w:lang w:val="es-ES" w:eastAsia="es-CO"/>
        </w:rPr>
        <w:t>Artículo</w:t>
      </w:r>
      <w:r w:rsidRPr="009D2863">
        <w:rPr>
          <w:rFonts w:ascii="Arial" w:eastAsia="Times New Roman" w:hAnsi="Arial" w:cs="Arial"/>
          <w:lang w:eastAsia="es-CO"/>
        </w:rPr>
        <w:t> </w:t>
      </w:r>
      <w:r w:rsidRPr="009D2863">
        <w:rPr>
          <w:rFonts w:ascii="Arial" w:eastAsia="Times New Roman" w:hAnsi="Arial" w:cs="Arial"/>
          <w:b/>
          <w:bCs/>
          <w:sz w:val="24"/>
          <w:szCs w:val="24"/>
          <w:lang w:val="es-ES" w:eastAsia="es-CO"/>
        </w:rPr>
        <w:t>2. </w:t>
      </w:r>
      <w:r w:rsidRPr="009D2863">
        <w:rPr>
          <w:rFonts w:ascii="Arial" w:eastAsia="Times New Roman" w:hAnsi="Arial" w:cs="Arial"/>
          <w:sz w:val="24"/>
          <w:szCs w:val="24"/>
          <w:lang w:val="es-ES" w:eastAsia="es-CO"/>
        </w:rPr>
        <w:t>Las demás disposiciones de la Resolución </w:t>
      </w:r>
      <w:hyperlink r:id="rId13" w:history="1">
        <w:r w:rsidRPr="009D2863">
          <w:rPr>
            <w:rFonts w:ascii="Arial" w:eastAsia="Times New Roman" w:hAnsi="Arial" w:cs="Arial"/>
            <w:color w:val="0000FF"/>
            <w:sz w:val="24"/>
            <w:szCs w:val="24"/>
            <w:u w:val="single"/>
            <w:lang w:val="es-ES" w:eastAsia="es-CO"/>
          </w:rPr>
          <w:t>184</w:t>
        </w:r>
      </w:hyperlink>
      <w:r w:rsidRPr="009D2863">
        <w:rPr>
          <w:rFonts w:ascii="Arial" w:eastAsia="Times New Roman" w:hAnsi="Arial" w:cs="Arial"/>
          <w:sz w:val="24"/>
          <w:szCs w:val="24"/>
          <w:lang w:val="es-ES" w:eastAsia="es-CO"/>
        </w:rPr>
        <w:t> del 23 de noviembre de 2020 de la Dirección General no se modifican, por lo que continúan vigentes.</w:t>
      </w:r>
    </w:p>
    <w:p w:rsidR="009D2863" w:rsidRPr="009D2863" w:rsidRDefault="009D2863" w:rsidP="009D2863">
      <w:pPr>
        <w:spacing w:after="0" w:line="240" w:lineRule="auto"/>
        <w:jc w:val="both"/>
        <w:rPr>
          <w:rFonts w:ascii="Arial" w:eastAsia="Times New Roman" w:hAnsi="Arial" w:cs="Arial"/>
          <w:lang w:eastAsia="es-CO"/>
        </w:rPr>
      </w:pPr>
      <w:r w:rsidRPr="009D2863">
        <w:rPr>
          <w:rFonts w:ascii="Arial" w:eastAsia="Times New Roman" w:hAnsi="Arial" w:cs="Arial"/>
          <w:sz w:val="24"/>
          <w:szCs w:val="24"/>
          <w:lang w:val="es-ES" w:eastAsia="es-CO"/>
        </w:rPr>
        <w:t> </w:t>
      </w:r>
    </w:p>
    <w:p w:rsidR="009D2863" w:rsidRPr="009D2863" w:rsidRDefault="009D2863" w:rsidP="009D2863">
      <w:pPr>
        <w:spacing w:after="0" w:line="240" w:lineRule="auto"/>
        <w:jc w:val="both"/>
        <w:rPr>
          <w:rFonts w:ascii="Arial" w:eastAsia="Times New Roman" w:hAnsi="Arial" w:cs="Arial"/>
          <w:lang w:eastAsia="es-CO"/>
        </w:rPr>
      </w:pPr>
      <w:r w:rsidRPr="009D2863">
        <w:rPr>
          <w:rFonts w:ascii="Arial" w:eastAsia="Times New Roman" w:hAnsi="Arial" w:cs="Arial"/>
          <w:b/>
          <w:bCs/>
          <w:sz w:val="24"/>
          <w:szCs w:val="24"/>
          <w:lang w:val="es-ES" w:eastAsia="es-CO"/>
        </w:rPr>
        <w:t>Artículo</w:t>
      </w:r>
      <w:r w:rsidRPr="009D2863">
        <w:rPr>
          <w:rFonts w:ascii="Arial" w:eastAsia="Times New Roman" w:hAnsi="Arial" w:cs="Arial"/>
          <w:lang w:eastAsia="es-CO"/>
        </w:rPr>
        <w:t> </w:t>
      </w:r>
      <w:r w:rsidRPr="009D2863">
        <w:rPr>
          <w:rFonts w:ascii="Arial" w:eastAsia="Times New Roman" w:hAnsi="Arial" w:cs="Arial"/>
          <w:b/>
          <w:bCs/>
          <w:sz w:val="24"/>
          <w:szCs w:val="24"/>
          <w:lang w:val="es-ES" w:eastAsia="es-CO"/>
        </w:rPr>
        <w:t>3. </w:t>
      </w:r>
      <w:r w:rsidRPr="009D2863">
        <w:rPr>
          <w:rFonts w:ascii="Arial" w:eastAsia="Times New Roman" w:hAnsi="Arial" w:cs="Arial"/>
          <w:sz w:val="24"/>
          <w:szCs w:val="24"/>
          <w:lang w:val="es-ES" w:eastAsia="es-CO"/>
        </w:rPr>
        <w:t>La presente resolución se entiende incorporada a la Resolución </w:t>
      </w:r>
      <w:hyperlink r:id="rId14" w:history="1">
        <w:r w:rsidRPr="009D2863">
          <w:rPr>
            <w:rFonts w:ascii="Arial" w:eastAsia="Times New Roman" w:hAnsi="Arial" w:cs="Arial"/>
            <w:color w:val="0000FF"/>
            <w:sz w:val="24"/>
            <w:szCs w:val="24"/>
            <w:u w:val="single"/>
            <w:lang w:val="es-ES" w:eastAsia="es-CO"/>
          </w:rPr>
          <w:t>184</w:t>
        </w:r>
      </w:hyperlink>
      <w:r w:rsidRPr="009D2863">
        <w:rPr>
          <w:rFonts w:ascii="Arial" w:eastAsia="Times New Roman" w:hAnsi="Arial" w:cs="Arial"/>
          <w:sz w:val="24"/>
          <w:szCs w:val="24"/>
          <w:lang w:val="es-ES" w:eastAsia="es-CO"/>
        </w:rPr>
        <w:t> del 23 de noviembre de 2020 de la Dirección General y rige a partir de la fecha de su expedición.</w:t>
      </w:r>
    </w:p>
    <w:p w:rsidR="009D2863" w:rsidRPr="009D2863" w:rsidRDefault="009D2863" w:rsidP="009D2863">
      <w:pPr>
        <w:spacing w:after="0" w:line="240" w:lineRule="auto"/>
        <w:jc w:val="both"/>
        <w:rPr>
          <w:rFonts w:ascii="Arial" w:eastAsia="Times New Roman" w:hAnsi="Arial" w:cs="Arial"/>
          <w:lang w:eastAsia="es-CO"/>
        </w:rPr>
      </w:pPr>
      <w:r w:rsidRPr="009D2863">
        <w:rPr>
          <w:rFonts w:ascii="Arial" w:eastAsia="Times New Roman" w:hAnsi="Arial" w:cs="Arial"/>
          <w:b/>
          <w:bCs/>
          <w:sz w:val="24"/>
          <w:szCs w:val="24"/>
          <w:lang w:val="es-ES" w:eastAsia="es-CO"/>
        </w:rPr>
        <w:t> </w:t>
      </w:r>
    </w:p>
    <w:p w:rsidR="009D2863" w:rsidRPr="009D2863" w:rsidRDefault="009D2863" w:rsidP="009D2863">
      <w:pPr>
        <w:spacing w:after="0" w:line="240" w:lineRule="auto"/>
        <w:jc w:val="center"/>
        <w:outlineLvl w:val="1"/>
        <w:rPr>
          <w:rFonts w:ascii="Arial" w:eastAsia="Times New Roman" w:hAnsi="Arial" w:cs="Arial"/>
          <w:lang w:eastAsia="es-CO"/>
        </w:rPr>
      </w:pPr>
      <w:r w:rsidRPr="009D2863">
        <w:rPr>
          <w:rFonts w:ascii="Arial" w:eastAsia="Times New Roman" w:hAnsi="Arial" w:cs="Arial"/>
          <w:sz w:val="24"/>
          <w:szCs w:val="24"/>
          <w:lang w:val="es-MX" w:eastAsia="es-CO"/>
        </w:rPr>
        <w:t>PUBLÍQUESE Y CÚMPLASE.</w:t>
      </w:r>
    </w:p>
    <w:p w:rsidR="009D2863" w:rsidRPr="009D2863" w:rsidRDefault="009D2863" w:rsidP="009D2863">
      <w:pPr>
        <w:spacing w:after="0" w:line="240" w:lineRule="auto"/>
        <w:jc w:val="center"/>
        <w:rPr>
          <w:rFonts w:ascii="Arial" w:eastAsia="Times New Roman" w:hAnsi="Arial" w:cs="Arial"/>
          <w:lang w:eastAsia="es-CO"/>
        </w:rPr>
      </w:pPr>
      <w:r w:rsidRPr="009D2863">
        <w:rPr>
          <w:rFonts w:ascii="Arial" w:eastAsia="Times New Roman" w:hAnsi="Arial" w:cs="Arial"/>
          <w:b/>
          <w:bCs/>
          <w:sz w:val="24"/>
          <w:szCs w:val="24"/>
          <w:lang w:val="es-MX" w:eastAsia="es-CO"/>
        </w:rPr>
        <w:t> </w:t>
      </w:r>
    </w:p>
    <w:p w:rsidR="009D2863" w:rsidRPr="009D2863" w:rsidRDefault="009D2863" w:rsidP="009D2863">
      <w:pPr>
        <w:spacing w:after="0" w:line="240" w:lineRule="auto"/>
        <w:jc w:val="center"/>
        <w:outlineLvl w:val="2"/>
        <w:rPr>
          <w:rFonts w:ascii="Arial" w:eastAsia="Times New Roman" w:hAnsi="Arial" w:cs="Arial"/>
          <w:lang w:eastAsia="es-CO"/>
        </w:rPr>
      </w:pPr>
      <w:r w:rsidRPr="009D2863">
        <w:rPr>
          <w:rFonts w:ascii="Arial" w:eastAsia="Times New Roman" w:hAnsi="Arial" w:cs="Arial"/>
          <w:b/>
          <w:bCs/>
          <w:sz w:val="24"/>
          <w:szCs w:val="24"/>
          <w:lang w:val="es-ES" w:eastAsia="es-CO"/>
        </w:rPr>
        <w:t>Dada en Bogotá D. C., a los 25 días del mes de octubre del año 2021.</w:t>
      </w:r>
    </w:p>
    <w:p w:rsidR="009D2863" w:rsidRPr="009D2863" w:rsidRDefault="009D2863" w:rsidP="009D2863">
      <w:pPr>
        <w:spacing w:after="0" w:line="240" w:lineRule="auto"/>
        <w:jc w:val="center"/>
        <w:rPr>
          <w:rFonts w:ascii="Arial" w:eastAsia="Times New Roman" w:hAnsi="Arial" w:cs="Arial"/>
          <w:lang w:eastAsia="es-CO"/>
        </w:rPr>
      </w:pPr>
      <w:r w:rsidRPr="009D2863">
        <w:rPr>
          <w:rFonts w:ascii="Arial" w:eastAsia="Times New Roman" w:hAnsi="Arial" w:cs="Arial"/>
          <w:b/>
          <w:bCs/>
          <w:sz w:val="24"/>
          <w:szCs w:val="24"/>
          <w:lang w:val="es-ES" w:eastAsia="es-CO"/>
        </w:rPr>
        <w:t> </w:t>
      </w:r>
    </w:p>
    <w:p w:rsidR="009D2863" w:rsidRPr="009D2863" w:rsidRDefault="009D2863" w:rsidP="009D2863">
      <w:pPr>
        <w:spacing w:after="0" w:line="240" w:lineRule="auto"/>
        <w:jc w:val="center"/>
        <w:rPr>
          <w:rFonts w:ascii="Arial" w:eastAsia="Times New Roman" w:hAnsi="Arial" w:cs="Arial"/>
          <w:lang w:eastAsia="es-CO"/>
        </w:rPr>
      </w:pPr>
      <w:r w:rsidRPr="009D2863">
        <w:rPr>
          <w:rFonts w:ascii="Arial" w:eastAsia="Times New Roman" w:hAnsi="Arial" w:cs="Arial"/>
          <w:b/>
          <w:bCs/>
          <w:sz w:val="24"/>
          <w:szCs w:val="24"/>
          <w:lang w:val="es-ES" w:eastAsia="es-CO"/>
        </w:rPr>
        <w:t>KAROL FAJARDO MARIÑO</w:t>
      </w:r>
    </w:p>
    <w:p w:rsidR="009D2863" w:rsidRPr="009D2863" w:rsidRDefault="009D2863" w:rsidP="009D2863">
      <w:pPr>
        <w:spacing w:after="0" w:line="240" w:lineRule="auto"/>
        <w:jc w:val="center"/>
        <w:outlineLvl w:val="1"/>
        <w:rPr>
          <w:rFonts w:ascii="Arial" w:eastAsia="Times New Roman" w:hAnsi="Arial" w:cs="Arial"/>
          <w:lang w:eastAsia="es-CO"/>
        </w:rPr>
      </w:pPr>
      <w:r w:rsidRPr="009D2863">
        <w:rPr>
          <w:rFonts w:ascii="Arial" w:eastAsia="Times New Roman" w:hAnsi="Arial" w:cs="Arial"/>
          <w:sz w:val="24"/>
          <w:szCs w:val="24"/>
          <w:lang w:val="es-MX" w:eastAsia="es-CO"/>
        </w:rPr>
        <w:t> </w:t>
      </w:r>
    </w:p>
    <w:p w:rsidR="009D2863" w:rsidRPr="009D2863" w:rsidRDefault="009D2863" w:rsidP="009D2863">
      <w:pPr>
        <w:spacing w:after="0" w:line="240" w:lineRule="auto"/>
        <w:jc w:val="center"/>
        <w:outlineLvl w:val="1"/>
        <w:rPr>
          <w:rFonts w:ascii="Arial" w:eastAsia="Times New Roman" w:hAnsi="Arial" w:cs="Arial"/>
          <w:lang w:eastAsia="es-CO"/>
        </w:rPr>
      </w:pPr>
      <w:r w:rsidRPr="009D2863">
        <w:rPr>
          <w:rFonts w:ascii="Arial" w:eastAsia="Times New Roman" w:hAnsi="Arial" w:cs="Arial"/>
          <w:sz w:val="24"/>
          <w:szCs w:val="24"/>
          <w:lang w:val="es-MX" w:eastAsia="es-CO"/>
        </w:rPr>
        <w:t>Directora General</w:t>
      </w:r>
      <w:r w:rsidRPr="009D2863">
        <w:rPr>
          <w:rFonts w:ascii="Arial" w:eastAsia="Times New Roman" w:hAnsi="Arial" w:cs="Arial"/>
          <w:lang w:eastAsia="es-CO"/>
        </w:rPr>
        <w:t> </w:t>
      </w:r>
    </w:p>
    <w:p w:rsidR="00E105E5" w:rsidRDefault="009D2863" w:rsidP="009D2863">
      <w:r w:rsidRPr="009D2863">
        <w:rPr>
          <w:rFonts w:ascii="Times New Roman" w:eastAsia="Times New Roman" w:hAnsi="Times New Roman" w:cs="Times New Roman"/>
          <w:sz w:val="24"/>
          <w:szCs w:val="24"/>
          <w:lang w:eastAsia="es-CO"/>
        </w:rPr>
        <w:t> </w:t>
      </w:r>
      <w:bookmarkStart w:id="0" w:name="_GoBack"/>
      <w:bookmarkEnd w:id="0"/>
    </w:p>
    <w:sectPr w:rsidR="00E105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63"/>
    <w:rsid w:val="009D2863"/>
    <w:rsid w:val="00E10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276EA-DD1D-489E-8ABC-B1235A60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D2863"/>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9D2863"/>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D2863"/>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9D2863"/>
    <w:rPr>
      <w:rFonts w:ascii="Times New Roman" w:eastAsia="Times New Roman" w:hAnsi="Times New Roman" w:cs="Times New Roman"/>
      <w:b/>
      <w:bCs/>
      <w:sz w:val="27"/>
      <w:szCs w:val="27"/>
      <w:lang w:eastAsia="es-CO"/>
    </w:rPr>
  </w:style>
  <w:style w:type="paragraph" w:styleId="Sinespaciado">
    <w:name w:val="No Spacing"/>
    <w:basedOn w:val="Normal"/>
    <w:uiPriority w:val="1"/>
    <w:qFormat/>
    <w:rsid w:val="009D286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9D2863"/>
    <w:rPr>
      <w:color w:val="0000FF"/>
      <w:u w:val="single"/>
    </w:rPr>
  </w:style>
  <w:style w:type="paragraph" w:customStyle="1" w:styleId="a">
    <w:name w:val="a"/>
    <w:basedOn w:val="Normal"/>
    <w:rsid w:val="009D286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9D286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9D2863"/>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9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jur.bogotajuridica.gov.co/sisjur/normas/Norma1.jsp?i=102930" TargetMode="External"/><Relationship Id="rId13" Type="http://schemas.openxmlformats.org/officeDocument/2006/relationships/hyperlink" Target="https://sisjur.bogotajuridica.gov.co/sisjur/normas/Norma1.jsp?i=102930" TargetMode="External"/><Relationship Id="rId3" Type="http://schemas.openxmlformats.org/officeDocument/2006/relationships/webSettings" Target="webSettings.xml"/><Relationship Id="rId7" Type="http://schemas.openxmlformats.org/officeDocument/2006/relationships/hyperlink" Target="https://sisjur.bogotajuridica.gov.co/sisjur/normas/Norma1.jsp?i=113917" TargetMode="External"/><Relationship Id="rId12" Type="http://schemas.openxmlformats.org/officeDocument/2006/relationships/hyperlink" Target="https://sisjur.bogotajuridica.gov.co/sisjur/normas/Norma1.jsp?i=10293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isjur.bogotajuridica.gov.co/sisjur/normas/Norma1.jsp?i=102930" TargetMode="External"/><Relationship Id="rId11" Type="http://schemas.openxmlformats.org/officeDocument/2006/relationships/hyperlink" Target="https://sisjur.bogotajuridica.gov.co/sisjur/normas/Norma1.jsp?i=102930" TargetMode="External"/><Relationship Id="rId5" Type="http://schemas.openxmlformats.org/officeDocument/2006/relationships/hyperlink" Target="https://sisjur.bogotajuridica.gov.co/sisjur/normas/Norma1.jsp?i=4125" TargetMode="External"/><Relationship Id="rId15" Type="http://schemas.openxmlformats.org/officeDocument/2006/relationships/fontTable" Target="fontTable.xml"/><Relationship Id="rId10" Type="http://schemas.openxmlformats.org/officeDocument/2006/relationships/hyperlink" Target="https://sisjur.bogotajuridica.gov.co/sisjur/normas/Norma1.jsp?i=68029" TargetMode="External"/><Relationship Id="rId4" Type="http://schemas.openxmlformats.org/officeDocument/2006/relationships/hyperlink" Target="https://sisjur.bogotajuridica.gov.co/sisjur/normas/Norma1.jsp?i=102930" TargetMode="External"/><Relationship Id="rId9" Type="http://schemas.openxmlformats.org/officeDocument/2006/relationships/hyperlink" Target="https://sisjur.bogotajuridica.gov.co/sisjur/normas/Norma1.jsp?i=102930" TargetMode="External"/><Relationship Id="rId14" Type="http://schemas.openxmlformats.org/officeDocument/2006/relationships/hyperlink" Target="https://sisjur.bogotajuridica.gov.co/sisjur/normas/Norma1.jsp?i=1029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5738</Characters>
  <Application>Microsoft Office Word</Application>
  <DocSecurity>0</DocSecurity>
  <Lines>47</Lines>
  <Paragraphs>13</Paragraphs>
  <ScaleCrop>false</ScaleCrop>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Yenny Rocio Romero Muñoz</dc:creator>
  <cp:keywords/>
  <dc:description/>
  <cp:lastModifiedBy>Yenny Rocio Romero Muñoz</cp:lastModifiedBy>
  <cp:revision>1</cp:revision>
  <dcterms:created xsi:type="dcterms:W3CDTF">2023-03-29T12:44:00Z</dcterms:created>
  <dcterms:modified xsi:type="dcterms:W3CDTF">2023-03-29T12:44:00Z</dcterms:modified>
</cp:coreProperties>
</file>