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E6" w:rsidRPr="009A62A2" w:rsidRDefault="00680E79" w:rsidP="00680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A2">
        <w:rPr>
          <w:rFonts w:ascii="Times New Roman" w:hAnsi="Times New Roman" w:cs="Times New Roman"/>
          <w:b/>
          <w:sz w:val="24"/>
          <w:szCs w:val="24"/>
        </w:rPr>
        <w:t>ESTRATEGIA RENDICIÓN DE CUENTAS 2017</w:t>
      </w:r>
    </w:p>
    <w:p w:rsidR="00F746DC" w:rsidRPr="009A62A2" w:rsidRDefault="00F746DC" w:rsidP="00680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DC" w:rsidRPr="009A62A2" w:rsidRDefault="00F746DC" w:rsidP="00680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A2">
        <w:rPr>
          <w:rFonts w:ascii="Times New Roman" w:hAnsi="Times New Roman" w:cs="Times New Roman"/>
          <w:b/>
          <w:sz w:val="24"/>
          <w:szCs w:val="24"/>
        </w:rPr>
        <w:t xml:space="preserve">INSTITUTO DISTRITAL DE TURISMO </w:t>
      </w:r>
    </w:p>
    <w:p w:rsidR="00680E79" w:rsidRPr="009A62A2" w:rsidRDefault="00680E79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8C76FDD" wp14:editId="461B4F3F">
            <wp:extent cx="5480435" cy="3640347"/>
            <wp:effectExtent l="0" t="0" r="6350" b="0"/>
            <wp:docPr id="24" name="Imagen 24" descr="Resultado de imagen para imagenes rendición de cuentas d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rendición de cuentas dia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61" cy="364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 w:rsidP="0029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A2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29635E" w:rsidRPr="009A62A2" w:rsidRDefault="0029635E" w:rsidP="00296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35E" w:rsidRPr="007F3188" w:rsidRDefault="007F3188" w:rsidP="007F3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64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635E" w:rsidRPr="007F3188">
        <w:rPr>
          <w:rFonts w:ascii="Times New Roman" w:hAnsi="Times New Roman" w:cs="Times New Roman"/>
          <w:sz w:val="24"/>
          <w:szCs w:val="24"/>
        </w:rPr>
        <w:t>El Instituto Distrital de Turismo, teniendo en cuenta el compromiso con la transparenci</w:t>
      </w:r>
      <w:r w:rsidR="00F746DC" w:rsidRPr="007F3188">
        <w:rPr>
          <w:rFonts w:ascii="Times New Roman" w:hAnsi="Times New Roman" w:cs="Times New Roman"/>
          <w:sz w:val="24"/>
          <w:szCs w:val="24"/>
        </w:rPr>
        <w:t>a y la participación ciudadana</w:t>
      </w:r>
      <w:r w:rsidR="0029635E" w:rsidRPr="007F3188">
        <w:rPr>
          <w:rFonts w:ascii="Times New Roman" w:hAnsi="Times New Roman" w:cs="Times New Roman"/>
          <w:sz w:val="24"/>
          <w:szCs w:val="24"/>
        </w:rPr>
        <w:t>, establece la estrategia de rendición de cuentas a desarrollar en la</w:t>
      </w:r>
      <w:r w:rsidR="00EF596F" w:rsidRPr="007F3188">
        <w:rPr>
          <w:rFonts w:ascii="Times New Roman" w:hAnsi="Times New Roman" w:cs="Times New Roman"/>
          <w:sz w:val="24"/>
          <w:szCs w:val="24"/>
        </w:rPr>
        <w:t xml:space="preserve"> actual vigencia, la cual genera </w:t>
      </w:r>
      <w:r w:rsidR="0029635E" w:rsidRPr="007F3188">
        <w:rPr>
          <w:rFonts w:ascii="Times New Roman" w:hAnsi="Times New Roman" w:cs="Times New Roman"/>
          <w:sz w:val="24"/>
          <w:szCs w:val="24"/>
        </w:rPr>
        <w:t xml:space="preserve">espacios que permitan a los diferentes grupos de interés </w:t>
      </w:r>
      <w:r w:rsidR="00EF596F" w:rsidRPr="007F3188">
        <w:rPr>
          <w:rFonts w:ascii="Times New Roman" w:hAnsi="Times New Roman" w:cs="Times New Roman"/>
          <w:sz w:val="24"/>
          <w:szCs w:val="24"/>
        </w:rPr>
        <w:t>conocer la gestión misional y</w:t>
      </w:r>
      <w:r w:rsidR="0029635E" w:rsidRPr="007F3188">
        <w:rPr>
          <w:rFonts w:ascii="Times New Roman" w:hAnsi="Times New Roman" w:cs="Times New Roman"/>
          <w:sz w:val="24"/>
          <w:szCs w:val="24"/>
        </w:rPr>
        <w:t xml:space="preserve"> administrativa de la entidad.</w:t>
      </w:r>
    </w:p>
    <w:p w:rsidR="00F746DC" w:rsidRPr="009A62A2" w:rsidRDefault="004D4190" w:rsidP="00D516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sz w:val="24"/>
          <w:szCs w:val="24"/>
        </w:rPr>
        <w:t>Es así como</w:t>
      </w:r>
      <w:r w:rsidR="0029635E" w:rsidRPr="009A62A2">
        <w:rPr>
          <w:rFonts w:ascii="Times New Roman" w:hAnsi="Times New Roman" w:cs="Times New Roman"/>
          <w:sz w:val="24"/>
          <w:szCs w:val="24"/>
        </w:rPr>
        <w:t xml:space="preserve"> establece dentro de su Plan Anual de Gestión </w:t>
      </w:r>
      <w:r w:rsidR="002B3876" w:rsidRPr="009A62A2">
        <w:rPr>
          <w:rFonts w:ascii="Times New Roman" w:hAnsi="Times New Roman" w:cs="Times New Roman"/>
          <w:sz w:val="24"/>
          <w:szCs w:val="24"/>
        </w:rPr>
        <w:t>2017 y el Plan Anticorrupción y de</w:t>
      </w:r>
      <w:r w:rsidR="0029635E" w:rsidRPr="009A62A2">
        <w:rPr>
          <w:rFonts w:ascii="Times New Roman" w:hAnsi="Times New Roman" w:cs="Times New Roman"/>
          <w:sz w:val="24"/>
          <w:szCs w:val="24"/>
        </w:rPr>
        <w:t xml:space="preserve"> Atención al Ciudadano </w:t>
      </w:r>
      <w:r w:rsidR="00F746DC" w:rsidRPr="009A62A2">
        <w:rPr>
          <w:rFonts w:ascii="Times New Roman" w:hAnsi="Times New Roman" w:cs="Times New Roman"/>
          <w:sz w:val="24"/>
          <w:szCs w:val="24"/>
        </w:rPr>
        <w:t>para la misma vig</w:t>
      </w:r>
      <w:r w:rsidR="002B3876" w:rsidRPr="009A62A2">
        <w:rPr>
          <w:rFonts w:ascii="Times New Roman" w:hAnsi="Times New Roman" w:cs="Times New Roman"/>
          <w:sz w:val="24"/>
          <w:szCs w:val="24"/>
        </w:rPr>
        <w:t>encia, la responsabilidad</w:t>
      </w:r>
      <w:r w:rsidR="00F746DC" w:rsidRPr="009A62A2">
        <w:rPr>
          <w:rFonts w:ascii="Times New Roman" w:hAnsi="Times New Roman" w:cs="Times New Roman"/>
          <w:sz w:val="24"/>
          <w:szCs w:val="24"/>
        </w:rPr>
        <w:t xml:space="preserve"> de ejecutar el ejercicio de rendición de cuentas, teniendo en cuenta las directrices establecidas en el CONPES 3654 de 2010 y </w:t>
      </w:r>
      <w:r w:rsidR="00C9397F" w:rsidRPr="009A62A2">
        <w:rPr>
          <w:rFonts w:ascii="Times New Roman" w:hAnsi="Times New Roman" w:cs="Times New Roman"/>
          <w:sz w:val="24"/>
          <w:szCs w:val="24"/>
        </w:rPr>
        <w:t>Manual Único De Rendición De Cuentas de la Presidencia de la República - Secretaría de Transparencia, Departamento Administrativo de la Función Pública, Departamento Nacional de Planeación</w:t>
      </w:r>
      <w:r w:rsidR="002B3876" w:rsidRPr="009A62A2">
        <w:rPr>
          <w:rFonts w:ascii="Times New Roman" w:hAnsi="Times New Roman" w:cs="Times New Roman"/>
          <w:sz w:val="24"/>
          <w:szCs w:val="24"/>
        </w:rPr>
        <w:t>,  t</w:t>
      </w:r>
      <w:r w:rsidR="00C9397F" w:rsidRPr="009A62A2">
        <w:rPr>
          <w:rFonts w:ascii="Times New Roman" w:hAnsi="Times New Roman" w:cs="Times New Roman"/>
          <w:sz w:val="24"/>
          <w:szCs w:val="24"/>
        </w:rPr>
        <w:t>oda vez que es un deber administrativo de responder ante la ciudadanía por el uso de los recursos, las decisiones y la gestión realizada en la vigencia, mediante  ejercicio de Rendición de Cuentas, en audiencia pública, con información actualizada, completa, veraz y de fácil entendimiento a la ciudanía.</w:t>
      </w:r>
    </w:p>
    <w:p w:rsidR="0029635E" w:rsidRPr="009A62A2" w:rsidRDefault="00F746DC" w:rsidP="00C939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sz w:val="24"/>
          <w:szCs w:val="24"/>
        </w:rPr>
        <w:t xml:space="preserve">Para desarrollar esta estrategia, </w:t>
      </w:r>
      <w:r w:rsidR="002B3876" w:rsidRPr="009A62A2">
        <w:rPr>
          <w:rFonts w:ascii="Times New Roman" w:hAnsi="Times New Roman" w:cs="Times New Roman"/>
          <w:sz w:val="24"/>
          <w:szCs w:val="24"/>
        </w:rPr>
        <w:t xml:space="preserve">se </w:t>
      </w:r>
      <w:r w:rsidRPr="009A62A2">
        <w:rPr>
          <w:rFonts w:ascii="Times New Roman" w:hAnsi="Times New Roman" w:cs="Times New Roman"/>
          <w:sz w:val="24"/>
          <w:szCs w:val="24"/>
        </w:rPr>
        <w:t>establecerá</w:t>
      </w:r>
      <w:r w:rsidR="002B3876" w:rsidRPr="009A62A2">
        <w:rPr>
          <w:rFonts w:ascii="Times New Roman" w:hAnsi="Times New Roman" w:cs="Times New Roman"/>
          <w:sz w:val="24"/>
          <w:szCs w:val="24"/>
        </w:rPr>
        <w:t>n</w:t>
      </w:r>
      <w:r w:rsidRPr="009A62A2">
        <w:rPr>
          <w:rFonts w:ascii="Times New Roman" w:hAnsi="Times New Roman" w:cs="Times New Roman"/>
          <w:sz w:val="24"/>
          <w:szCs w:val="24"/>
        </w:rPr>
        <w:t xml:space="preserve"> diferentes espacios de socialización de su gestión misional, así:</w:t>
      </w:r>
    </w:p>
    <w:p w:rsidR="00F746DC" w:rsidRPr="009A62A2" w:rsidRDefault="00F746DC" w:rsidP="00F74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97F" w:rsidRPr="009A62A2" w:rsidRDefault="00C9397F" w:rsidP="00C939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sz w:val="24"/>
          <w:szCs w:val="24"/>
        </w:rPr>
        <w:t>Audiencia pública de Rendición de Cuentas</w:t>
      </w:r>
    </w:p>
    <w:p w:rsidR="00C9397F" w:rsidRPr="009A62A2" w:rsidRDefault="00C9397F" w:rsidP="00C939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sz w:val="24"/>
          <w:szCs w:val="24"/>
        </w:rPr>
        <w:t>Redes Sociales</w:t>
      </w:r>
    </w:p>
    <w:p w:rsidR="00C9397F" w:rsidRPr="009A62A2" w:rsidRDefault="006C0659" w:rsidP="00C939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sz w:val="24"/>
          <w:szCs w:val="24"/>
        </w:rPr>
        <w:t>Correos Electrónicos</w:t>
      </w:r>
    </w:p>
    <w:p w:rsidR="006C0659" w:rsidRPr="009A62A2" w:rsidRDefault="006C0659" w:rsidP="00C939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sz w:val="24"/>
          <w:szCs w:val="24"/>
        </w:rPr>
        <w:t>Página WEB</w:t>
      </w:r>
    </w:p>
    <w:p w:rsidR="006C0659" w:rsidRPr="009A62A2" w:rsidRDefault="006C0659" w:rsidP="00C939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sz w:val="24"/>
          <w:szCs w:val="24"/>
        </w:rPr>
        <w:t xml:space="preserve">Definición de la Estrategia </w:t>
      </w:r>
    </w:p>
    <w:p w:rsidR="006C0659" w:rsidRPr="009A62A2" w:rsidRDefault="006C0659" w:rsidP="00C939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sz w:val="24"/>
          <w:szCs w:val="24"/>
        </w:rPr>
        <w:t xml:space="preserve">Diseño de Piezas Comunicativas </w:t>
      </w:r>
    </w:p>
    <w:p w:rsidR="00F746DC" w:rsidRPr="009A62A2" w:rsidRDefault="00F746DC" w:rsidP="00F74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Pr="009A62A2" w:rsidRDefault="0029635E">
      <w:pPr>
        <w:rPr>
          <w:rFonts w:ascii="Times New Roman" w:hAnsi="Times New Roman" w:cs="Times New Roman"/>
          <w:sz w:val="24"/>
          <w:szCs w:val="24"/>
        </w:rPr>
      </w:pPr>
    </w:p>
    <w:p w:rsidR="0029635E" w:rsidRDefault="0029635E">
      <w:pPr>
        <w:rPr>
          <w:rFonts w:ascii="Times New Roman" w:hAnsi="Times New Roman" w:cs="Times New Roman"/>
          <w:sz w:val="24"/>
          <w:szCs w:val="24"/>
        </w:rPr>
      </w:pPr>
    </w:p>
    <w:p w:rsidR="004D2898" w:rsidRDefault="004D2898">
      <w:pPr>
        <w:rPr>
          <w:rFonts w:ascii="Times New Roman" w:hAnsi="Times New Roman" w:cs="Times New Roman"/>
          <w:sz w:val="24"/>
          <w:szCs w:val="24"/>
        </w:rPr>
      </w:pPr>
    </w:p>
    <w:p w:rsidR="00D516F4" w:rsidRPr="009A62A2" w:rsidRDefault="00D516F4">
      <w:pPr>
        <w:rPr>
          <w:rFonts w:ascii="Times New Roman" w:hAnsi="Times New Roman" w:cs="Times New Roman"/>
          <w:sz w:val="24"/>
          <w:szCs w:val="24"/>
        </w:rPr>
      </w:pPr>
    </w:p>
    <w:p w:rsidR="006C0659" w:rsidRPr="009A62A2" w:rsidRDefault="006C0659" w:rsidP="006C0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A2">
        <w:rPr>
          <w:rFonts w:ascii="Times New Roman" w:hAnsi="Times New Roman" w:cs="Times New Roman"/>
          <w:b/>
          <w:sz w:val="24"/>
          <w:szCs w:val="24"/>
        </w:rPr>
        <w:lastRenderedPageBreak/>
        <w:t>OBJETIVO</w:t>
      </w:r>
    </w:p>
    <w:p w:rsidR="007F3188" w:rsidRDefault="004D2898" w:rsidP="007F3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16F4">
        <w:rPr>
          <w:rFonts w:ascii="Times New Roman" w:hAnsi="Times New Roman" w:cs="Times New Roman"/>
          <w:sz w:val="24"/>
          <w:szCs w:val="24"/>
        </w:rPr>
        <w:t xml:space="preserve">  </w:t>
      </w:r>
      <w:r w:rsidR="00680E79" w:rsidRPr="009A62A2">
        <w:rPr>
          <w:rFonts w:ascii="Times New Roman" w:hAnsi="Times New Roman" w:cs="Times New Roman"/>
          <w:sz w:val="24"/>
          <w:szCs w:val="24"/>
        </w:rPr>
        <w:t>Definir y consolidar los elementos que se deben establecer para llevar a cabo el ejercicio de  rendición de cuentas del Instituto Distrital de Turismo</w:t>
      </w:r>
      <w:r w:rsidR="00043F9C" w:rsidRPr="009A62A2">
        <w:rPr>
          <w:rFonts w:ascii="Times New Roman" w:hAnsi="Times New Roman" w:cs="Times New Roman"/>
          <w:sz w:val="24"/>
          <w:szCs w:val="24"/>
        </w:rPr>
        <w:t xml:space="preserve"> de la vigencia 2017</w:t>
      </w:r>
      <w:r w:rsidR="00680E79" w:rsidRPr="009A62A2">
        <w:rPr>
          <w:rFonts w:ascii="Times New Roman" w:hAnsi="Times New Roman" w:cs="Times New Roman"/>
          <w:sz w:val="24"/>
          <w:szCs w:val="24"/>
        </w:rPr>
        <w:t xml:space="preserve">, como un proceso permanente constituido por las diferentes actividades e iniciativas adelantadas en las cuales se generen espacios de interacción y socialización de la gestión misional y administrativa con los diferentes </w:t>
      </w:r>
      <w:r>
        <w:rPr>
          <w:rFonts w:ascii="Times New Roman" w:hAnsi="Times New Roman" w:cs="Times New Roman"/>
          <w:sz w:val="24"/>
          <w:szCs w:val="24"/>
        </w:rPr>
        <w:t>grupos de interés de la entidad</w:t>
      </w:r>
      <w:r w:rsidR="007F3188">
        <w:rPr>
          <w:rFonts w:ascii="Times New Roman" w:hAnsi="Times New Roman" w:cs="Times New Roman"/>
          <w:sz w:val="24"/>
          <w:szCs w:val="24"/>
        </w:rPr>
        <w:t>.</w:t>
      </w:r>
    </w:p>
    <w:p w:rsidR="007F3188" w:rsidRDefault="007F3188" w:rsidP="007F3188">
      <w:pPr>
        <w:jc w:val="both"/>
        <w:rPr>
          <w:rFonts w:ascii="Times New Roman" w:hAnsi="Times New Roman" w:cs="Times New Roman"/>
          <w:sz w:val="24"/>
          <w:szCs w:val="24"/>
        </w:rPr>
      </w:pPr>
      <w:r w:rsidRPr="009A62A2"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36D7850" wp14:editId="29AD6C95">
            <wp:simplePos x="0" y="0"/>
            <wp:positionH relativeFrom="margin">
              <wp:posOffset>277495</wp:posOffset>
            </wp:positionH>
            <wp:positionV relativeFrom="margin">
              <wp:posOffset>2708910</wp:posOffset>
            </wp:positionV>
            <wp:extent cx="5742305" cy="539623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49" t="7219" r="23093" b="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539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En virtud de los lineamientos establecidos en </w:t>
      </w:r>
      <w:r w:rsidRPr="009A62A2">
        <w:rPr>
          <w:rFonts w:ascii="Times New Roman" w:hAnsi="Times New Roman" w:cs="Times New Roman"/>
          <w:sz w:val="24"/>
          <w:szCs w:val="24"/>
        </w:rPr>
        <w:t>CONPES 3654 de 2010 y Manual Único De Rendición De Cuentas de la Presidencia de la República - Secretaría de Transparencia, Departamento Administrativo de la Función Pública, Departamento Nacional de Planeación</w:t>
      </w:r>
      <w:r>
        <w:rPr>
          <w:rFonts w:ascii="Times New Roman" w:hAnsi="Times New Roman" w:cs="Times New Roman"/>
          <w:sz w:val="24"/>
          <w:szCs w:val="24"/>
        </w:rPr>
        <w:t>, estos serían los temas que se deben tener en cuenta en un ejercicio de rendición</w:t>
      </w:r>
      <w:r w:rsidR="003334D5">
        <w:rPr>
          <w:rFonts w:ascii="Times New Roman" w:hAnsi="Times New Roman" w:cs="Times New Roman"/>
          <w:sz w:val="24"/>
          <w:szCs w:val="24"/>
        </w:rPr>
        <w:t xml:space="preserve"> de cuentas.</w:t>
      </w:r>
    </w:p>
    <w:p w:rsidR="007F3188" w:rsidRDefault="007F3188" w:rsidP="007F3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88" w:rsidRPr="009A62A2" w:rsidRDefault="007F3188" w:rsidP="007F3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Se definen </w:t>
      </w:r>
      <w:r w:rsidR="003334D5">
        <w:rPr>
          <w:rFonts w:ascii="Times New Roman" w:hAnsi="Times New Roman" w:cs="Times New Roman"/>
          <w:sz w:val="24"/>
          <w:szCs w:val="24"/>
        </w:rPr>
        <w:t xml:space="preserve"> las acciones</w:t>
      </w:r>
      <w:r>
        <w:rPr>
          <w:rFonts w:ascii="Times New Roman" w:hAnsi="Times New Roman" w:cs="Times New Roman"/>
          <w:sz w:val="24"/>
          <w:szCs w:val="24"/>
        </w:rPr>
        <w:t xml:space="preserve"> a desarrollar para dar cumplimiento al ejercicio de rendición de cuentas del IDT,</w:t>
      </w:r>
      <w:r w:rsidR="003334D5">
        <w:rPr>
          <w:rFonts w:ascii="Times New Roman" w:hAnsi="Times New Roman" w:cs="Times New Roman"/>
          <w:sz w:val="24"/>
          <w:szCs w:val="24"/>
        </w:rPr>
        <w:t xml:space="preserve"> vigencia 2017.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96"/>
        <w:gridCol w:w="2396"/>
        <w:gridCol w:w="1843"/>
        <w:gridCol w:w="3843"/>
      </w:tblGrid>
      <w:tr w:rsidR="0005505A" w:rsidRPr="009A62A2" w:rsidTr="0005505A">
        <w:trPr>
          <w:cantSplit/>
          <w:tblHeader/>
        </w:trPr>
        <w:tc>
          <w:tcPr>
            <w:tcW w:w="281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396" w:type="dxa"/>
          </w:tcPr>
          <w:p w:rsidR="0005505A" w:rsidRPr="009A62A2" w:rsidRDefault="0005505A" w:rsidP="0005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1843" w:type="dxa"/>
          </w:tcPr>
          <w:p w:rsidR="0005505A" w:rsidRPr="009A62A2" w:rsidRDefault="0005505A" w:rsidP="0005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Área Responsable</w:t>
            </w:r>
          </w:p>
        </w:tc>
        <w:tc>
          <w:tcPr>
            <w:tcW w:w="3843" w:type="dxa"/>
          </w:tcPr>
          <w:p w:rsidR="0005505A" w:rsidRPr="009A62A2" w:rsidRDefault="0005505A" w:rsidP="0005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Compromisos</w:t>
            </w:r>
          </w:p>
        </w:tc>
      </w:tr>
      <w:tr w:rsidR="0005505A" w:rsidRPr="009A62A2" w:rsidTr="0005505A">
        <w:tc>
          <w:tcPr>
            <w:tcW w:w="281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Construcción de la Estrategia de Rendición de Cuentas 2017</w:t>
            </w:r>
          </w:p>
        </w:tc>
        <w:tc>
          <w:tcPr>
            <w:tcW w:w="1843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Comunicaciones </w:t>
            </w:r>
          </w:p>
        </w:tc>
        <w:tc>
          <w:tcPr>
            <w:tcW w:w="3843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-Definir el  nombre de la estrategia.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-Determinar formato de divulgación: grabación de audio y video o streaming en página web o relator; web y redes sociales. (Debe quedar registro para la entidad y subirse a la página WEB)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-Definir presentador y/o moderador.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-Definir el diseño de la presentación.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-Diseñar BANNERS  y piezas comunicativas de invitación y convocatoria para página web y redes sociales.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-Habilitar correo electrónico para propuestas de temas a tratar y recibo de PQRS.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-Determinar agenda de la rendición: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-Orden del día.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-Dinámica de la presentación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-Orden de intervenciones de la rendición: Director, presentadora/moderadora, Sudirectores y Asesores, invitados, grupos de interés, ciudadanos.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-Coordinación de preguntas e intervenciones de la ciudadanía y grupos de interés. (Espacio de participación Ciudadana y Control Social), en este se presentan experiencias y apoyo que ha tenido el IDT con los diferentes actores).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-Sesión de preguntas, dudas y PQRS.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-Evaluación de la jornada.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5A" w:rsidRPr="009A62A2" w:rsidTr="0005505A">
        <w:tc>
          <w:tcPr>
            <w:tcW w:w="281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6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-Definir, sitio, hora y fecha 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-Elaborar presentación 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Subdirección de Gestión Corporativa y Control Disciplinario y Oficina Asesora de Planeación 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Oficina Asesora de Planeación, Subdirección de Gestión Corporativa y Control Disciplinario y  Comunicaciones 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-Realizar las gestiones para conseguir el sitio y definir hora y fecha de la realización de la Rendición de Cuentas.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-Realizar la presentación teniendo en cuentas los temas establecidos para el ejercicio de rendición de cuentas 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-Elaborar informe de gestión de la Rendición de Cuentas con todos los elementos y la evaluación.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-Visitar el sitio del ejercicio de Rendición de Cuentas para definir logística: ubicación, sonido, proyección de presentación, videos y demás ayudas audiovisuales. Background, Skyline, refrigerios, acomodación de asistentes, ingreso y registro; entrega de material promocional. etc.</w:t>
            </w:r>
          </w:p>
        </w:tc>
      </w:tr>
      <w:tr w:rsidR="0005505A" w:rsidRPr="009A62A2" w:rsidTr="0005505A">
        <w:tc>
          <w:tcPr>
            <w:tcW w:w="281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96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 xml:space="preserve">Definir los diferentes grupos de interés que participaran en el ejercicio de rendición de cuentas </w:t>
            </w:r>
          </w:p>
        </w:tc>
        <w:tc>
          <w:tcPr>
            <w:tcW w:w="1843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sz w:val="24"/>
                <w:szCs w:val="24"/>
              </w:rPr>
              <w:t>Subdirección de Gestión de Destino y Subdirección de Promoción y Mercadeo.</w:t>
            </w:r>
          </w:p>
        </w:tc>
        <w:tc>
          <w:tcPr>
            <w:tcW w:w="3843" w:type="dxa"/>
          </w:tcPr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Enviar invitaciones y confirmar asistencia. </w:t>
            </w:r>
            <w:r w:rsidRPr="009A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Elaborar lista de asistencia para registro de invitados.</w:t>
            </w:r>
          </w:p>
          <w:p w:rsidR="0005505A" w:rsidRPr="009A62A2" w:rsidRDefault="0005505A" w:rsidP="00B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188" w:rsidRPr="009A62A2" w:rsidRDefault="007F3188" w:rsidP="00BE3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E79" w:rsidRPr="007F3188" w:rsidRDefault="0005505A" w:rsidP="007F3188">
      <w:pPr>
        <w:tabs>
          <w:tab w:val="left" w:pos="2585"/>
        </w:tabs>
        <w:jc w:val="center"/>
        <w:rPr>
          <w:b/>
        </w:rPr>
      </w:pPr>
      <w:r w:rsidRPr="0005505A">
        <w:rPr>
          <w:b/>
        </w:rPr>
        <w:t>4. CRONOG</w:t>
      </w:r>
      <w:r w:rsidR="007F3188">
        <w:rPr>
          <w:b/>
        </w:rPr>
        <w:t xml:space="preserve">RMA DE ACTIVIDADES </w:t>
      </w:r>
      <w:r w:rsidRPr="0005505A">
        <w:rPr>
          <w:b/>
        </w:rPr>
        <w:t xml:space="preserve"> EJERCICIO DE RENDICIÓN DE CUENTAS</w:t>
      </w:r>
      <w:r w:rsidR="007F3188">
        <w:rPr>
          <w:b/>
        </w:rPr>
        <w:t xml:space="preserve"> IDT 2017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878"/>
        <w:gridCol w:w="2675"/>
        <w:gridCol w:w="2094"/>
        <w:gridCol w:w="1858"/>
      </w:tblGrid>
      <w:tr w:rsidR="0005505A" w:rsidRPr="0005505A" w:rsidTr="007F3188">
        <w:trPr>
          <w:cantSplit/>
          <w:tblHeader/>
        </w:trPr>
        <w:tc>
          <w:tcPr>
            <w:tcW w:w="1878" w:type="dxa"/>
          </w:tcPr>
          <w:p w:rsidR="0005505A" w:rsidRPr="0005505A" w:rsidRDefault="0005505A" w:rsidP="009D6106">
            <w:pPr>
              <w:jc w:val="center"/>
              <w:rPr>
                <w:rFonts w:ascii="Times New Roman" w:hAnsi="Times New Roman" w:cs="Times New Roman"/>
              </w:rPr>
            </w:pPr>
            <w:r w:rsidRPr="0005505A">
              <w:rPr>
                <w:rFonts w:ascii="Times New Roman" w:hAnsi="Times New Roman" w:cs="Times New Roman"/>
              </w:rPr>
              <w:t>Actividad</w:t>
            </w:r>
          </w:p>
        </w:tc>
        <w:tc>
          <w:tcPr>
            <w:tcW w:w="2675" w:type="dxa"/>
          </w:tcPr>
          <w:p w:rsidR="0005505A" w:rsidRPr="0005505A" w:rsidRDefault="0005505A" w:rsidP="009D6106">
            <w:pPr>
              <w:jc w:val="center"/>
              <w:rPr>
                <w:rFonts w:ascii="Times New Roman" w:hAnsi="Times New Roman" w:cs="Times New Roman"/>
              </w:rPr>
            </w:pPr>
            <w:r w:rsidRPr="0005505A">
              <w:rPr>
                <w:rFonts w:ascii="Times New Roman" w:hAnsi="Times New Roman" w:cs="Times New Roman"/>
              </w:rPr>
              <w:t>Compromisos</w:t>
            </w:r>
          </w:p>
        </w:tc>
        <w:tc>
          <w:tcPr>
            <w:tcW w:w="2094" w:type="dxa"/>
          </w:tcPr>
          <w:p w:rsidR="0005505A" w:rsidRPr="0005505A" w:rsidRDefault="0005505A" w:rsidP="009D6106">
            <w:pPr>
              <w:jc w:val="center"/>
              <w:rPr>
                <w:rFonts w:ascii="Times New Roman" w:hAnsi="Times New Roman" w:cs="Times New Roman"/>
              </w:rPr>
            </w:pPr>
            <w:r w:rsidRPr="0005505A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1858" w:type="dxa"/>
          </w:tcPr>
          <w:p w:rsidR="0005505A" w:rsidRPr="0005505A" w:rsidRDefault="0005505A" w:rsidP="009D6106">
            <w:pPr>
              <w:jc w:val="center"/>
              <w:rPr>
                <w:rFonts w:ascii="Times New Roman" w:hAnsi="Times New Roman" w:cs="Times New Roman"/>
              </w:rPr>
            </w:pPr>
            <w:r w:rsidRPr="0005505A">
              <w:rPr>
                <w:rFonts w:ascii="Times New Roman" w:hAnsi="Times New Roman" w:cs="Times New Roman"/>
              </w:rPr>
              <w:t>Área Responsable</w:t>
            </w:r>
          </w:p>
        </w:tc>
      </w:tr>
      <w:tr w:rsidR="00255AC5" w:rsidTr="007F3188">
        <w:tc>
          <w:tcPr>
            <w:tcW w:w="1878" w:type="dxa"/>
            <w:vMerge w:val="restart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  <w:r w:rsidRPr="009039CE">
              <w:rPr>
                <w:rFonts w:ascii="Times New Roman" w:hAnsi="Times New Roman" w:cs="Times New Roman"/>
              </w:rPr>
              <w:t>1</w:t>
            </w:r>
            <w:r w:rsidRPr="009039CE">
              <w:rPr>
                <w:rFonts w:ascii="Times New Roman" w:hAnsi="Times New Roman" w:cs="Times New Roman"/>
                <w:sz w:val="24"/>
                <w:szCs w:val="24"/>
              </w:rPr>
              <w:t>. Construcción de la Estrategia de Rendición de cuentas</w:t>
            </w:r>
          </w:p>
        </w:tc>
        <w:tc>
          <w:tcPr>
            <w:tcW w:w="2675" w:type="dxa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  <w:r w:rsidRPr="009039CE">
              <w:rPr>
                <w:rFonts w:ascii="Times New Roman" w:hAnsi="Times New Roman" w:cs="Times New Roman"/>
              </w:rPr>
              <w:t>Habilitar correo electrónico para propuestas de temas a tratar y recibo de PQRS.</w:t>
            </w:r>
          </w:p>
        </w:tc>
        <w:tc>
          <w:tcPr>
            <w:tcW w:w="2094" w:type="dxa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9CE">
              <w:rPr>
                <w:rFonts w:ascii="Times New Roman" w:hAnsi="Times New Roman" w:cs="Times New Roman"/>
                <w:color w:val="000000"/>
              </w:rPr>
              <w:t>28/09/2017</w:t>
            </w:r>
          </w:p>
        </w:tc>
        <w:tc>
          <w:tcPr>
            <w:tcW w:w="1858" w:type="dxa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9CE">
              <w:rPr>
                <w:rFonts w:ascii="Times New Roman" w:hAnsi="Times New Roman" w:cs="Times New Roman"/>
                <w:color w:val="000000"/>
              </w:rPr>
              <w:t>Oficina Asesora de Planeación</w:t>
            </w:r>
          </w:p>
        </w:tc>
      </w:tr>
      <w:tr w:rsidR="00255AC5" w:rsidTr="007F3188">
        <w:tc>
          <w:tcPr>
            <w:tcW w:w="1878" w:type="dxa"/>
            <w:vMerge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  <w:r w:rsidRPr="009039CE">
              <w:rPr>
                <w:rFonts w:ascii="Times New Roman" w:hAnsi="Times New Roman" w:cs="Times New Roman"/>
              </w:rPr>
              <w:t xml:space="preserve">Diseñar BANNERS  y piezas comunicativas de invitación y convocatoria </w:t>
            </w:r>
            <w:r w:rsidRPr="009039CE">
              <w:rPr>
                <w:rFonts w:ascii="Times New Roman" w:hAnsi="Times New Roman" w:cs="Times New Roman"/>
              </w:rPr>
              <w:lastRenderedPageBreak/>
              <w:t>para página web y redes sociales.</w:t>
            </w:r>
          </w:p>
        </w:tc>
        <w:tc>
          <w:tcPr>
            <w:tcW w:w="2094" w:type="dxa"/>
            <w:vAlign w:val="center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9CE">
              <w:rPr>
                <w:rFonts w:ascii="Times New Roman" w:hAnsi="Times New Roman" w:cs="Times New Roman"/>
                <w:color w:val="000000"/>
              </w:rPr>
              <w:lastRenderedPageBreak/>
              <w:t>30/10/2017</w:t>
            </w:r>
          </w:p>
        </w:tc>
        <w:tc>
          <w:tcPr>
            <w:tcW w:w="1858" w:type="dxa"/>
            <w:vAlign w:val="center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9CE">
              <w:rPr>
                <w:rFonts w:ascii="Times New Roman" w:hAnsi="Times New Roman" w:cs="Times New Roman"/>
                <w:color w:val="000000"/>
              </w:rPr>
              <w:t>Comunicaciones</w:t>
            </w:r>
          </w:p>
        </w:tc>
      </w:tr>
      <w:tr w:rsidR="00255AC5" w:rsidTr="007F3188">
        <w:tc>
          <w:tcPr>
            <w:tcW w:w="1878" w:type="dxa"/>
            <w:vMerge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  <w:r w:rsidRPr="009039CE">
              <w:rPr>
                <w:rFonts w:ascii="Times New Roman" w:hAnsi="Times New Roman" w:cs="Times New Roman"/>
              </w:rPr>
              <w:t>Definir el nombre de la estrategia de promoción de la rendición de cuentas 2017</w:t>
            </w:r>
          </w:p>
        </w:tc>
        <w:tc>
          <w:tcPr>
            <w:tcW w:w="2094" w:type="dxa"/>
            <w:vAlign w:val="center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9CE">
              <w:rPr>
                <w:rFonts w:ascii="Times New Roman" w:hAnsi="Times New Roman" w:cs="Times New Roman"/>
                <w:color w:val="000000"/>
              </w:rPr>
              <w:t>30/10/2017</w:t>
            </w:r>
          </w:p>
        </w:tc>
        <w:tc>
          <w:tcPr>
            <w:tcW w:w="1858" w:type="dxa"/>
            <w:vAlign w:val="center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9CE">
              <w:rPr>
                <w:rFonts w:ascii="Times New Roman" w:hAnsi="Times New Roman" w:cs="Times New Roman"/>
                <w:color w:val="000000"/>
              </w:rPr>
              <w:t>Comunicaciones</w:t>
            </w:r>
          </w:p>
        </w:tc>
      </w:tr>
      <w:tr w:rsidR="00255AC5" w:rsidTr="007F3188">
        <w:trPr>
          <w:trHeight w:val="2023"/>
        </w:trPr>
        <w:tc>
          <w:tcPr>
            <w:tcW w:w="1878" w:type="dxa"/>
            <w:vMerge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  <w:r w:rsidRPr="009039CE">
              <w:rPr>
                <w:rFonts w:ascii="Times New Roman" w:hAnsi="Times New Roman" w:cs="Times New Roman"/>
              </w:rPr>
              <w:t xml:space="preserve">Determinar formato de divulgación: grabación de audio y video o </w:t>
            </w:r>
            <w:proofErr w:type="spellStart"/>
            <w:r w:rsidRPr="009039CE">
              <w:rPr>
                <w:rFonts w:ascii="Times New Roman" w:hAnsi="Times New Roman" w:cs="Times New Roman"/>
              </w:rPr>
              <w:t>streaming</w:t>
            </w:r>
            <w:proofErr w:type="spellEnd"/>
            <w:r w:rsidRPr="009039CE">
              <w:rPr>
                <w:rFonts w:ascii="Times New Roman" w:hAnsi="Times New Roman" w:cs="Times New Roman"/>
              </w:rPr>
              <w:t xml:space="preserve"> en página web o relator; web y redes sociales. (Debe quedar registro para la entidad y subirse a la página WEB)</w:t>
            </w:r>
          </w:p>
        </w:tc>
        <w:tc>
          <w:tcPr>
            <w:tcW w:w="2094" w:type="dxa"/>
          </w:tcPr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9CE">
              <w:rPr>
                <w:rFonts w:ascii="Times New Roman" w:hAnsi="Times New Roman" w:cs="Times New Roman"/>
                <w:color w:val="000000"/>
              </w:rPr>
              <w:t>15/11/2017</w:t>
            </w:r>
          </w:p>
        </w:tc>
        <w:tc>
          <w:tcPr>
            <w:tcW w:w="1858" w:type="dxa"/>
          </w:tcPr>
          <w:p w:rsidR="00255AC5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55AC5" w:rsidRPr="009039CE" w:rsidRDefault="00255AC5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9CE">
              <w:rPr>
                <w:rFonts w:ascii="Times New Roman" w:hAnsi="Times New Roman" w:cs="Times New Roman"/>
                <w:color w:val="000000"/>
              </w:rPr>
              <w:t>Comunicaciones</w:t>
            </w:r>
          </w:p>
        </w:tc>
      </w:tr>
      <w:tr w:rsidR="00255AC5" w:rsidTr="007F3188">
        <w:tc>
          <w:tcPr>
            <w:tcW w:w="1878" w:type="dxa"/>
            <w:vMerge/>
          </w:tcPr>
          <w:p w:rsidR="00255AC5" w:rsidRDefault="00255AC5" w:rsidP="007A60D7">
            <w:pPr>
              <w:jc w:val="both"/>
            </w:pPr>
          </w:p>
        </w:tc>
        <w:tc>
          <w:tcPr>
            <w:tcW w:w="2675" w:type="dxa"/>
          </w:tcPr>
          <w:p w:rsidR="00255AC5" w:rsidRDefault="00255AC5" w:rsidP="007A60D7">
            <w:pPr>
              <w:jc w:val="both"/>
            </w:pPr>
            <w:r w:rsidRPr="009039CE">
              <w:t>Definir presentador y/o moderador</w:t>
            </w:r>
          </w:p>
        </w:tc>
        <w:tc>
          <w:tcPr>
            <w:tcW w:w="2094" w:type="dxa"/>
          </w:tcPr>
          <w:p w:rsidR="00255AC5" w:rsidRDefault="00255AC5" w:rsidP="007A60D7">
            <w:pPr>
              <w:jc w:val="both"/>
            </w:pPr>
            <w:r>
              <w:t>15/11/2017</w:t>
            </w:r>
          </w:p>
        </w:tc>
        <w:tc>
          <w:tcPr>
            <w:tcW w:w="1858" w:type="dxa"/>
          </w:tcPr>
          <w:p w:rsidR="00255AC5" w:rsidRDefault="00255AC5" w:rsidP="007A60D7">
            <w:pPr>
              <w:jc w:val="both"/>
            </w:pPr>
            <w:r w:rsidRPr="009039CE">
              <w:rPr>
                <w:rFonts w:ascii="Times New Roman" w:hAnsi="Times New Roman" w:cs="Times New Roman"/>
                <w:color w:val="000000"/>
              </w:rPr>
              <w:t>Comunicaciones</w:t>
            </w:r>
          </w:p>
        </w:tc>
      </w:tr>
      <w:tr w:rsidR="00255AC5" w:rsidTr="007F3188">
        <w:tc>
          <w:tcPr>
            <w:tcW w:w="1878" w:type="dxa"/>
            <w:vMerge/>
          </w:tcPr>
          <w:p w:rsidR="00255AC5" w:rsidRDefault="00255AC5" w:rsidP="007A60D7">
            <w:pPr>
              <w:jc w:val="both"/>
            </w:pPr>
          </w:p>
        </w:tc>
        <w:tc>
          <w:tcPr>
            <w:tcW w:w="2675" w:type="dxa"/>
          </w:tcPr>
          <w:p w:rsidR="00255AC5" w:rsidRDefault="00255AC5" w:rsidP="007A60D7">
            <w:pPr>
              <w:jc w:val="both"/>
            </w:pPr>
            <w:r>
              <w:t>Determinar agenda de la rendición:</w:t>
            </w:r>
          </w:p>
          <w:p w:rsidR="00255AC5" w:rsidRDefault="00255AC5" w:rsidP="007A60D7">
            <w:pPr>
              <w:jc w:val="both"/>
            </w:pPr>
            <w:r>
              <w:t>*Orden de intervenciones de la rendición: Director, presentadora/moderadora, Subdirectores y Asesores, invitados, grupos de interés, ciudadanos</w:t>
            </w:r>
          </w:p>
          <w:p w:rsidR="00255AC5" w:rsidRDefault="00255AC5" w:rsidP="007A60D7">
            <w:pPr>
              <w:jc w:val="both"/>
            </w:pPr>
            <w:r>
              <w:t>*Coordinación de preguntas e intervenciones de la ciudadanía y grupos de interés. (Espacio de participación Ciudadana y Control Social), en este se presentan experiencias y apoyo que ha tenido el IDT con los diferentes actores).</w:t>
            </w:r>
          </w:p>
          <w:p w:rsidR="00255AC5" w:rsidRDefault="00255AC5" w:rsidP="007A60D7">
            <w:pPr>
              <w:jc w:val="both"/>
            </w:pPr>
            <w:r>
              <w:t>*Sesión de preguntas</w:t>
            </w:r>
          </w:p>
        </w:tc>
        <w:tc>
          <w:tcPr>
            <w:tcW w:w="2094" w:type="dxa"/>
          </w:tcPr>
          <w:p w:rsidR="00255AC5" w:rsidRDefault="00255AC5" w:rsidP="007A60D7">
            <w:pPr>
              <w:jc w:val="both"/>
            </w:pPr>
          </w:p>
          <w:p w:rsidR="00255AC5" w:rsidRDefault="00255AC5" w:rsidP="007A60D7">
            <w:pPr>
              <w:jc w:val="both"/>
            </w:pPr>
            <w:r>
              <w:t>15/11/2017</w:t>
            </w:r>
          </w:p>
        </w:tc>
        <w:tc>
          <w:tcPr>
            <w:tcW w:w="1858" w:type="dxa"/>
          </w:tcPr>
          <w:p w:rsidR="00255AC5" w:rsidRDefault="00255AC5" w:rsidP="007A60D7">
            <w:pPr>
              <w:jc w:val="both"/>
            </w:pPr>
            <w:r w:rsidRPr="009039CE">
              <w:rPr>
                <w:rFonts w:ascii="Times New Roman" w:hAnsi="Times New Roman" w:cs="Times New Roman"/>
                <w:color w:val="000000"/>
              </w:rPr>
              <w:t>Comunicaciones</w:t>
            </w:r>
          </w:p>
        </w:tc>
      </w:tr>
      <w:tr w:rsidR="0005505A" w:rsidTr="007F3188">
        <w:tc>
          <w:tcPr>
            <w:tcW w:w="1878" w:type="dxa"/>
          </w:tcPr>
          <w:p w:rsidR="0005505A" w:rsidRPr="007A60D7" w:rsidRDefault="00255AC5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2. Definir, sitio, hora y fecha</w:t>
            </w:r>
          </w:p>
        </w:tc>
        <w:tc>
          <w:tcPr>
            <w:tcW w:w="2675" w:type="dxa"/>
          </w:tcPr>
          <w:p w:rsidR="0005505A" w:rsidRPr="007A60D7" w:rsidRDefault="00846BDC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Realizar las gestiones para conseguir el sitio y definir hora y fecha de la realización de la Rendición de Cuentas.</w:t>
            </w:r>
          </w:p>
        </w:tc>
        <w:tc>
          <w:tcPr>
            <w:tcW w:w="2094" w:type="dxa"/>
          </w:tcPr>
          <w:p w:rsidR="0005505A" w:rsidRPr="007A60D7" w:rsidRDefault="00846BDC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24/10/2017</w:t>
            </w:r>
          </w:p>
        </w:tc>
        <w:tc>
          <w:tcPr>
            <w:tcW w:w="1858" w:type="dxa"/>
          </w:tcPr>
          <w:p w:rsidR="0005505A" w:rsidRPr="007A60D7" w:rsidRDefault="00846BDC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Subdirección de Gestión Corporativa y Control Disciplinario</w:t>
            </w:r>
          </w:p>
        </w:tc>
      </w:tr>
      <w:tr w:rsidR="0005505A" w:rsidTr="007F3188">
        <w:tc>
          <w:tcPr>
            <w:tcW w:w="1878" w:type="dxa"/>
          </w:tcPr>
          <w:p w:rsidR="0005505A" w:rsidRPr="007A60D7" w:rsidRDefault="0005505A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05505A" w:rsidRPr="007A60D7" w:rsidRDefault="0005505A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05505A" w:rsidRPr="007A60D7" w:rsidRDefault="00846BDC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20/11/2017</w:t>
            </w:r>
          </w:p>
        </w:tc>
        <w:tc>
          <w:tcPr>
            <w:tcW w:w="1858" w:type="dxa"/>
          </w:tcPr>
          <w:p w:rsidR="00846BDC" w:rsidRPr="007A60D7" w:rsidRDefault="00846BDC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Subdirección de Gestión Corporativa y Control Disciplinario y Comunicaciones</w:t>
            </w:r>
          </w:p>
          <w:p w:rsidR="0005505A" w:rsidRPr="007A60D7" w:rsidRDefault="00846BDC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Oficina Asesora de Planeación</w:t>
            </w:r>
          </w:p>
        </w:tc>
      </w:tr>
      <w:tr w:rsidR="007A60D7" w:rsidTr="007F3188">
        <w:tc>
          <w:tcPr>
            <w:tcW w:w="1878" w:type="dxa"/>
            <w:vMerge w:val="restart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 xml:space="preserve">3. Definir los </w:t>
            </w:r>
            <w:r w:rsidRPr="007A60D7">
              <w:rPr>
                <w:rFonts w:ascii="Times New Roman" w:hAnsi="Times New Roman" w:cs="Times New Roman"/>
              </w:rPr>
              <w:lastRenderedPageBreak/>
              <w:t>diferentes grupos de interés que participaran en el ejercicio de rendición de cuentas</w:t>
            </w:r>
          </w:p>
        </w:tc>
        <w:tc>
          <w:tcPr>
            <w:tcW w:w="2675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lastRenderedPageBreak/>
              <w:t xml:space="preserve">Definir listado de invitados </w:t>
            </w:r>
            <w:r w:rsidRPr="007A60D7">
              <w:rPr>
                <w:rFonts w:ascii="Times New Roman" w:hAnsi="Times New Roman" w:cs="Times New Roman"/>
              </w:rPr>
              <w:lastRenderedPageBreak/>
              <w:t>a rendición de cuentas</w:t>
            </w:r>
          </w:p>
        </w:tc>
        <w:tc>
          <w:tcPr>
            <w:tcW w:w="2094" w:type="dxa"/>
            <w:vAlign w:val="center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60D7">
              <w:rPr>
                <w:rFonts w:ascii="Times New Roman" w:hAnsi="Times New Roman" w:cs="Times New Roman"/>
                <w:color w:val="000000"/>
              </w:rPr>
              <w:lastRenderedPageBreak/>
              <w:t>30/10/2017</w:t>
            </w:r>
          </w:p>
        </w:tc>
        <w:tc>
          <w:tcPr>
            <w:tcW w:w="1858" w:type="dxa"/>
            <w:vMerge w:val="restart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 xml:space="preserve">Subdirección de </w:t>
            </w:r>
            <w:r w:rsidRPr="007A60D7">
              <w:rPr>
                <w:rFonts w:ascii="Times New Roman" w:hAnsi="Times New Roman" w:cs="Times New Roman"/>
              </w:rPr>
              <w:lastRenderedPageBreak/>
              <w:t>Gestión de Destino y Subdirección de Promoción y Mercadeo.</w:t>
            </w:r>
          </w:p>
        </w:tc>
      </w:tr>
      <w:tr w:rsidR="007A60D7" w:rsidTr="007F3188">
        <w:tc>
          <w:tcPr>
            <w:tcW w:w="1878" w:type="dxa"/>
            <w:vMerge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Enviar invitaciones y confirmar asistencia.</w:t>
            </w:r>
          </w:p>
        </w:tc>
        <w:tc>
          <w:tcPr>
            <w:tcW w:w="2094" w:type="dxa"/>
            <w:vAlign w:val="center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60D7">
              <w:rPr>
                <w:rFonts w:ascii="Times New Roman" w:hAnsi="Times New Roman" w:cs="Times New Roman"/>
                <w:color w:val="000000"/>
              </w:rPr>
              <w:t>01/11/2017</w:t>
            </w:r>
          </w:p>
        </w:tc>
        <w:tc>
          <w:tcPr>
            <w:tcW w:w="1858" w:type="dxa"/>
            <w:vMerge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0D7" w:rsidTr="007F3188">
        <w:tc>
          <w:tcPr>
            <w:tcW w:w="1878" w:type="dxa"/>
            <w:vMerge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Elaborar lista de asistencia para registro de invitados.</w:t>
            </w:r>
          </w:p>
        </w:tc>
        <w:tc>
          <w:tcPr>
            <w:tcW w:w="2094" w:type="dxa"/>
            <w:vAlign w:val="center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60D7">
              <w:rPr>
                <w:rFonts w:ascii="Times New Roman" w:hAnsi="Times New Roman" w:cs="Times New Roman"/>
                <w:color w:val="000000"/>
              </w:rPr>
              <w:t>24/11/2017</w:t>
            </w:r>
          </w:p>
        </w:tc>
        <w:tc>
          <w:tcPr>
            <w:tcW w:w="1858" w:type="dxa"/>
            <w:vMerge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0D7" w:rsidTr="007F3188">
        <w:tc>
          <w:tcPr>
            <w:tcW w:w="1878" w:type="dxa"/>
            <w:vMerge w:val="restart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4. Elaborar presentación</w:t>
            </w:r>
          </w:p>
        </w:tc>
        <w:tc>
          <w:tcPr>
            <w:tcW w:w="2675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Enviar información  para elaboración de presentación rendición de cuentas</w:t>
            </w:r>
          </w:p>
        </w:tc>
        <w:tc>
          <w:tcPr>
            <w:tcW w:w="2094" w:type="dxa"/>
            <w:vAlign w:val="center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60D7">
              <w:rPr>
                <w:rFonts w:ascii="Times New Roman" w:hAnsi="Times New Roman" w:cs="Times New Roman"/>
                <w:color w:val="000000"/>
              </w:rPr>
              <w:t>17/11/2017</w:t>
            </w:r>
          </w:p>
        </w:tc>
        <w:tc>
          <w:tcPr>
            <w:tcW w:w="1858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Todas las áreas</w:t>
            </w:r>
          </w:p>
        </w:tc>
      </w:tr>
      <w:tr w:rsidR="007A60D7" w:rsidTr="007F3188">
        <w:tc>
          <w:tcPr>
            <w:tcW w:w="1878" w:type="dxa"/>
            <w:vMerge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Realizar la presentación teniendo en cuentas los temas establecidos para el ejercicio de rendición de cuentas</w:t>
            </w:r>
          </w:p>
        </w:tc>
        <w:tc>
          <w:tcPr>
            <w:tcW w:w="2094" w:type="dxa"/>
            <w:vAlign w:val="center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60D7">
              <w:rPr>
                <w:rFonts w:ascii="Times New Roman" w:hAnsi="Times New Roman" w:cs="Times New Roman"/>
                <w:color w:val="000000"/>
              </w:rPr>
              <w:t>20/11/2017</w:t>
            </w:r>
          </w:p>
        </w:tc>
        <w:tc>
          <w:tcPr>
            <w:tcW w:w="1858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Oficina Asesora de Planeación</w:t>
            </w:r>
          </w:p>
        </w:tc>
      </w:tr>
      <w:tr w:rsidR="007A60D7" w:rsidTr="007F3188">
        <w:tc>
          <w:tcPr>
            <w:tcW w:w="1878" w:type="dxa"/>
            <w:vMerge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Definir el diseño de la presentación.</w:t>
            </w:r>
          </w:p>
        </w:tc>
        <w:tc>
          <w:tcPr>
            <w:tcW w:w="2094" w:type="dxa"/>
            <w:vAlign w:val="center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60D7">
              <w:rPr>
                <w:rFonts w:ascii="Times New Roman" w:hAnsi="Times New Roman" w:cs="Times New Roman"/>
                <w:color w:val="000000"/>
              </w:rPr>
              <w:t>24/11/2017</w:t>
            </w:r>
          </w:p>
        </w:tc>
        <w:tc>
          <w:tcPr>
            <w:tcW w:w="1858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Comunicaciones</w:t>
            </w:r>
          </w:p>
        </w:tc>
      </w:tr>
      <w:tr w:rsidR="007A60D7" w:rsidTr="007F3188">
        <w:tc>
          <w:tcPr>
            <w:tcW w:w="1878" w:type="dxa"/>
            <w:vMerge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Evaluación de la jornada.</w:t>
            </w:r>
          </w:p>
        </w:tc>
        <w:tc>
          <w:tcPr>
            <w:tcW w:w="2094" w:type="dxa"/>
            <w:vAlign w:val="center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60D7">
              <w:rPr>
                <w:rFonts w:ascii="Times New Roman" w:hAnsi="Times New Roman" w:cs="Times New Roman"/>
                <w:color w:val="000000"/>
              </w:rPr>
              <w:t>06/12/2017</w:t>
            </w:r>
          </w:p>
        </w:tc>
        <w:tc>
          <w:tcPr>
            <w:tcW w:w="1858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Oficina Asesora de Planeación</w:t>
            </w:r>
          </w:p>
        </w:tc>
      </w:tr>
      <w:tr w:rsidR="007A60D7" w:rsidTr="007F3188">
        <w:tc>
          <w:tcPr>
            <w:tcW w:w="1878" w:type="dxa"/>
            <w:vMerge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Elaborar informe de Participación Ciudadana y  Rendición de Cuentas vigencia 2017.</w:t>
            </w:r>
          </w:p>
        </w:tc>
        <w:tc>
          <w:tcPr>
            <w:tcW w:w="2094" w:type="dxa"/>
            <w:vAlign w:val="center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60D7">
              <w:rPr>
                <w:rFonts w:ascii="Times New Roman" w:hAnsi="Times New Roman" w:cs="Times New Roman"/>
                <w:color w:val="000000"/>
              </w:rPr>
              <w:t>05/01/2018</w:t>
            </w:r>
          </w:p>
        </w:tc>
        <w:tc>
          <w:tcPr>
            <w:tcW w:w="1858" w:type="dxa"/>
          </w:tcPr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</w:p>
          <w:p w:rsidR="007A60D7" w:rsidRPr="007A60D7" w:rsidRDefault="007A60D7" w:rsidP="007A60D7">
            <w:pPr>
              <w:jc w:val="both"/>
              <w:rPr>
                <w:rFonts w:ascii="Times New Roman" w:hAnsi="Times New Roman" w:cs="Times New Roman"/>
              </w:rPr>
            </w:pPr>
            <w:r w:rsidRPr="007A60D7">
              <w:rPr>
                <w:rFonts w:ascii="Times New Roman" w:hAnsi="Times New Roman" w:cs="Times New Roman"/>
              </w:rPr>
              <w:t>Oficina Asesora de Planeación</w:t>
            </w:r>
          </w:p>
        </w:tc>
      </w:tr>
    </w:tbl>
    <w:p w:rsidR="00680E79" w:rsidRDefault="00680E79" w:rsidP="007A60D7">
      <w:pPr>
        <w:jc w:val="both"/>
      </w:pPr>
    </w:p>
    <w:p w:rsidR="00680E79" w:rsidRDefault="00D516F4" w:rsidP="00D516F4">
      <w:pPr>
        <w:tabs>
          <w:tab w:val="left" w:pos="1920"/>
        </w:tabs>
      </w:pPr>
      <w:r>
        <w:tab/>
      </w:r>
    </w:p>
    <w:p w:rsidR="00680E79" w:rsidRDefault="00680E79"/>
    <w:p w:rsidR="007F3188" w:rsidRPr="007F3188" w:rsidRDefault="007F3188">
      <w:pPr>
        <w:rPr>
          <w:sz w:val="16"/>
          <w:szCs w:val="16"/>
        </w:rPr>
      </w:pPr>
    </w:p>
    <w:p w:rsidR="004D4190" w:rsidRPr="007F3188" w:rsidRDefault="00BE38ED">
      <w:pPr>
        <w:rPr>
          <w:rFonts w:ascii="Times New Roman" w:hAnsi="Times New Roman" w:cs="Times New Roman"/>
          <w:sz w:val="16"/>
          <w:szCs w:val="16"/>
        </w:rPr>
      </w:pPr>
      <w:r w:rsidRPr="007F3188">
        <w:rPr>
          <w:rFonts w:ascii="Times New Roman" w:hAnsi="Times New Roman" w:cs="Times New Roman"/>
          <w:sz w:val="16"/>
          <w:szCs w:val="16"/>
        </w:rPr>
        <w:t>Elaboró: Patricia Ballest</w:t>
      </w:r>
      <w:r w:rsidR="004D4190" w:rsidRPr="007F3188">
        <w:rPr>
          <w:rFonts w:ascii="Times New Roman" w:hAnsi="Times New Roman" w:cs="Times New Roman"/>
          <w:sz w:val="16"/>
          <w:szCs w:val="16"/>
        </w:rPr>
        <w:t>as-Contratista Oficina Asesora Planeación</w:t>
      </w:r>
      <w:r w:rsidR="009D6106" w:rsidRPr="007F3188">
        <w:rPr>
          <w:rFonts w:ascii="Times New Roman" w:hAnsi="Times New Roman" w:cs="Times New Roman"/>
          <w:sz w:val="16"/>
          <w:szCs w:val="16"/>
        </w:rPr>
        <w:t>-</w:t>
      </w:r>
      <w:r w:rsidR="004D4190" w:rsidRPr="007F3188">
        <w:rPr>
          <w:rFonts w:ascii="Times New Roman" w:hAnsi="Times New Roman" w:cs="Times New Roman"/>
          <w:sz w:val="16"/>
          <w:szCs w:val="16"/>
        </w:rPr>
        <w:t xml:space="preserve">Marcela Gómez </w:t>
      </w:r>
      <w:proofErr w:type="spellStart"/>
      <w:r w:rsidR="004D4190" w:rsidRPr="007F3188">
        <w:rPr>
          <w:rFonts w:ascii="Times New Roman" w:hAnsi="Times New Roman" w:cs="Times New Roman"/>
          <w:sz w:val="16"/>
          <w:szCs w:val="16"/>
        </w:rPr>
        <w:t>Calvache</w:t>
      </w:r>
      <w:proofErr w:type="spellEnd"/>
      <w:r w:rsidR="004D4190" w:rsidRPr="007F3188">
        <w:rPr>
          <w:rFonts w:ascii="Times New Roman" w:hAnsi="Times New Roman" w:cs="Times New Roman"/>
          <w:sz w:val="16"/>
          <w:szCs w:val="16"/>
        </w:rPr>
        <w:t xml:space="preserve"> y Javier Espinel- Profesionales Oficina Asesora de Planeación</w:t>
      </w:r>
    </w:p>
    <w:p w:rsidR="0005505A" w:rsidRPr="007F3188" w:rsidRDefault="0005505A">
      <w:pPr>
        <w:rPr>
          <w:rFonts w:ascii="Times New Roman" w:hAnsi="Times New Roman" w:cs="Times New Roman"/>
          <w:sz w:val="16"/>
          <w:szCs w:val="16"/>
        </w:rPr>
      </w:pPr>
      <w:r w:rsidRPr="007F3188">
        <w:rPr>
          <w:rFonts w:ascii="Times New Roman" w:hAnsi="Times New Roman" w:cs="Times New Roman"/>
          <w:sz w:val="16"/>
          <w:szCs w:val="16"/>
        </w:rPr>
        <w:t>Septiembre de 2017</w:t>
      </w:r>
    </w:p>
    <w:sectPr w:rsidR="0005505A" w:rsidRPr="007F3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E9" w:rsidRDefault="00EC01E9" w:rsidP="00C9397F">
      <w:pPr>
        <w:spacing w:after="0" w:line="240" w:lineRule="auto"/>
      </w:pPr>
      <w:r>
        <w:separator/>
      </w:r>
    </w:p>
  </w:endnote>
  <w:endnote w:type="continuationSeparator" w:id="0">
    <w:p w:rsidR="00EC01E9" w:rsidRDefault="00EC01E9" w:rsidP="00C9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E9" w:rsidRDefault="00EC01E9" w:rsidP="00C9397F">
      <w:pPr>
        <w:spacing w:after="0" w:line="240" w:lineRule="auto"/>
      </w:pPr>
      <w:r>
        <w:separator/>
      </w:r>
    </w:p>
  </w:footnote>
  <w:footnote w:type="continuationSeparator" w:id="0">
    <w:p w:rsidR="00EC01E9" w:rsidRDefault="00EC01E9" w:rsidP="00C9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1FA"/>
    <w:multiLevelType w:val="hybridMultilevel"/>
    <w:tmpl w:val="50F2D8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719D"/>
    <w:multiLevelType w:val="hybridMultilevel"/>
    <w:tmpl w:val="6E10DE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2A34"/>
    <w:multiLevelType w:val="hybridMultilevel"/>
    <w:tmpl w:val="8AB00D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2902"/>
    <w:multiLevelType w:val="hybridMultilevel"/>
    <w:tmpl w:val="224AF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6E28"/>
    <w:multiLevelType w:val="hybridMultilevel"/>
    <w:tmpl w:val="EF620E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9"/>
    <w:rsid w:val="00043F9C"/>
    <w:rsid w:val="0005505A"/>
    <w:rsid w:val="00117A08"/>
    <w:rsid w:val="00222AEB"/>
    <w:rsid w:val="00240A41"/>
    <w:rsid w:val="00255AC5"/>
    <w:rsid w:val="0029635E"/>
    <w:rsid w:val="002B3876"/>
    <w:rsid w:val="002C5838"/>
    <w:rsid w:val="003334D5"/>
    <w:rsid w:val="003442F0"/>
    <w:rsid w:val="0038680A"/>
    <w:rsid w:val="003E52FD"/>
    <w:rsid w:val="00423181"/>
    <w:rsid w:val="00447B69"/>
    <w:rsid w:val="00462C7D"/>
    <w:rsid w:val="00476461"/>
    <w:rsid w:val="004D2898"/>
    <w:rsid w:val="004D4190"/>
    <w:rsid w:val="005C0F36"/>
    <w:rsid w:val="005F7E91"/>
    <w:rsid w:val="00680E79"/>
    <w:rsid w:val="00680F22"/>
    <w:rsid w:val="006B0E70"/>
    <w:rsid w:val="006C0659"/>
    <w:rsid w:val="00755ACA"/>
    <w:rsid w:val="007A60D7"/>
    <w:rsid w:val="007C1E05"/>
    <w:rsid w:val="007F3188"/>
    <w:rsid w:val="00846BDC"/>
    <w:rsid w:val="009039CE"/>
    <w:rsid w:val="009075DD"/>
    <w:rsid w:val="00913896"/>
    <w:rsid w:val="00946C56"/>
    <w:rsid w:val="009A62A2"/>
    <w:rsid w:val="009D6106"/>
    <w:rsid w:val="009F622A"/>
    <w:rsid w:val="00B250B1"/>
    <w:rsid w:val="00B80A0E"/>
    <w:rsid w:val="00BE38ED"/>
    <w:rsid w:val="00C84D69"/>
    <w:rsid w:val="00C9397F"/>
    <w:rsid w:val="00D516F4"/>
    <w:rsid w:val="00D75A5B"/>
    <w:rsid w:val="00EB0D3B"/>
    <w:rsid w:val="00EC01E9"/>
    <w:rsid w:val="00EF596F"/>
    <w:rsid w:val="00F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F9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9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97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397F"/>
    <w:rPr>
      <w:vertAlign w:val="superscript"/>
    </w:rPr>
  </w:style>
  <w:style w:type="paragraph" w:styleId="Prrafodelista">
    <w:name w:val="List Paragraph"/>
    <w:basedOn w:val="Normal"/>
    <w:uiPriority w:val="34"/>
    <w:qFormat/>
    <w:rsid w:val="00C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F9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9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97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397F"/>
    <w:rPr>
      <w:vertAlign w:val="superscript"/>
    </w:rPr>
  </w:style>
  <w:style w:type="paragraph" w:styleId="Prrafodelista">
    <w:name w:val="List Paragraph"/>
    <w:basedOn w:val="Normal"/>
    <w:uiPriority w:val="34"/>
    <w:qFormat/>
    <w:rsid w:val="00C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1DA8-ADBF-40E9-B603-4824EBB6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Dolores Ballestas Del Portillo</dc:creator>
  <cp:lastModifiedBy>Patricia Dolores Ballestas Del Portillo</cp:lastModifiedBy>
  <cp:revision>4</cp:revision>
  <dcterms:created xsi:type="dcterms:W3CDTF">2018-01-11T13:41:00Z</dcterms:created>
  <dcterms:modified xsi:type="dcterms:W3CDTF">2018-05-10T15:21:00Z</dcterms:modified>
</cp:coreProperties>
</file>