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7F2F" w:rsidRPr="00D6665E" w:rsidRDefault="00657F2F" w:rsidP="007A5E23">
      <w:pPr>
        <w:jc w:val="center"/>
        <w:rPr>
          <w:rFonts w:ascii="Times New Roman" w:hAnsi="Times New Roman" w:cs="Times New Roman"/>
          <w:b/>
          <w:sz w:val="24"/>
          <w:szCs w:val="24"/>
        </w:rPr>
      </w:pPr>
      <w:r w:rsidRPr="00D6665E">
        <w:rPr>
          <w:rFonts w:ascii="Times New Roman" w:hAnsi="Times New Roman" w:cs="Times New Roman"/>
          <w:b/>
          <w:sz w:val="24"/>
          <w:szCs w:val="24"/>
        </w:rPr>
        <w:t>INSTITUTO DISTRITAL DE TURISMO</w:t>
      </w:r>
      <w:r w:rsidR="00825E4F" w:rsidRPr="00D6665E">
        <w:rPr>
          <w:rFonts w:ascii="Times New Roman" w:hAnsi="Times New Roman" w:cs="Times New Roman"/>
          <w:b/>
          <w:sz w:val="24"/>
          <w:szCs w:val="24"/>
        </w:rPr>
        <w:t xml:space="preserve"> IDT</w:t>
      </w:r>
    </w:p>
    <w:p w:rsidR="004176D0" w:rsidRPr="00D6665E" w:rsidRDefault="004E52C4" w:rsidP="007A5E23">
      <w:pPr>
        <w:spacing w:after="0"/>
        <w:jc w:val="center"/>
        <w:rPr>
          <w:rFonts w:ascii="Times New Roman" w:hAnsi="Times New Roman" w:cs="Times New Roman"/>
          <w:b/>
          <w:sz w:val="24"/>
          <w:szCs w:val="24"/>
        </w:rPr>
      </w:pPr>
      <w:r w:rsidRPr="00D6665E">
        <w:rPr>
          <w:rFonts w:ascii="Times New Roman" w:hAnsi="Times New Roman" w:cs="Times New Roman"/>
          <w:b/>
          <w:sz w:val="24"/>
          <w:szCs w:val="24"/>
        </w:rPr>
        <w:t xml:space="preserve">INFORME </w:t>
      </w:r>
      <w:r w:rsidR="008D1ACE" w:rsidRPr="00D6665E">
        <w:rPr>
          <w:rFonts w:ascii="Times New Roman" w:hAnsi="Times New Roman" w:cs="Times New Roman"/>
          <w:b/>
          <w:sz w:val="24"/>
          <w:szCs w:val="24"/>
        </w:rPr>
        <w:t>RENDICIÓN DE CUENTAS 2016</w:t>
      </w:r>
    </w:p>
    <w:p w:rsidR="008D1ACE" w:rsidRPr="00D6665E" w:rsidRDefault="008D1ACE" w:rsidP="004C2042">
      <w:pPr>
        <w:spacing w:after="0"/>
        <w:jc w:val="both"/>
        <w:rPr>
          <w:rFonts w:ascii="Times New Roman" w:hAnsi="Times New Roman" w:cs="Times New Roman"/>
          <w:b/>
          <w:sz w:val="24"/>
          <w:szCs w:val="24"/>
        </w:rPr>
      </w:pPr>
    </w:p>
    <w:p w:rsidR="008D1ACE" w:rsidRPr="00D6665E" w:rsidRDefault="008D1ACE" w:rsidP="004C2042">
      <w:pPr>
        <w:spacing w:after="0"/>
        <w:jc w:val="both"/>
        <w:rPr>
          <w:rFonts w:ascii="Times New Roman" w:hAnsi="Times New Roman" w:cs="Times New Roman"/>
          <w:b/>
          <w:sz w:val="24"/>
          <w:szCs w:val="24"/>
        </w:rPr>
      </w:pPr>
    </w:p>
    <w:p w:rsidR="00657F2F" w:rsidRPr="00D6665E" w:rsidRDefault="00C6728A" w:rsidP="004C2042">
      <w:pPr>
        <w:spacing w:after="0"/>
        <w:jc w:val="both"/>
        <w:rPr>
          <w:rFonts w:ascii="Times New Roman" w:hAnsi="Times New Roman" w:cs="Times New Roman"/>
          <w:b/>
          <w:sz w:val="24"/>
          <w:szCs w:val="24"/>
        </w:rPr>
      </w:pPr>
      <w:r w:rsidRPr="00D6665E">
        <w:rPr>
          <w:rFonts w:ascii="Times New Roman" w:hAnsi="Times New Roman" w:cs="Times New Roman"/>
          <w:b/>
          <w:sz w:val="24"/>
          <w:szCs w:val="24"/>
        </w:rPr>
        <w:t xml:space="preserve">FECHA: </w:t>
      </w:r>
      <w:r w:rsidR="008D1ACE" w:rsidRPr="00D6665E">
        <w:rPr>
          <w:rFonts w:ascii="Times New Roman" w:hAnsi="Times New Roman" w:cs="Times New Roman"/>
          <w:sz w:val="24"/>
          <w:szCs w:val="24"/>
        </w:rPr>
        <w:t>Diciembre 15</w:t>
      </w:r>
      <w:r w:rsidR="00825E4F" w:rsidRPr="00D6665E">
        <w:rPr>
          <w:rFonts w:ascii="Times New Roman" w:hAnsi="Times New Roman" w:cs="Times New Roman"/>
          <w:sz w:val="24"/>
          <w:szCs w:val="24"/>
        </w:rPr>
        <w:t xml:space="preserve"> de 2016</w:t>
      </w:r>
    </w:p>
    <w:p w:rsidR="00C6728A" w:rsidRPr="00D6665E" w:rsidRDefault="00C6728A" w:rsidP="004C2042">
      <w:pPr>
        <w:spacing w:after="0"/>
        <w:jc w:val="both"/>
        <w:rPr>
          <w:rFonts w:ascii="Times New Roman" w:hAnsi="Times New Roman" w:cs="Times New Roman"/>
          <w:b/>
          <w:sz w:val="24"/>
          <w:szCs w:val="24"/>
        </w:rPr>
      </w:pPr>
      <w:r w:rsidRPr="00D6665E">
        <w:rPr>
          <w:rFonts w:ascii="Times New Roman" w:hAnsi="Times New Roman" w:cs="Times New Roman"/>
          <w:b/>
          <w:sz w:val="24"/>
          <w:szCs w:val="24"/>
        </w:rPr>
        <w:t>HORA:</w:t>
      </w:r>
      <w:r w:rsidR="00911C80" w:rsidRPr="00D6665E">
        <w:rPr>
          <w:rFonts w:ascii="Times New Roman" w:hAnsi="Times New Roman" w:cs="Times New Roman"/>
          <w:b/>
          <w:sz w:val="24"/>
          <w:szCs w:val="24"/>
        </w:rPr>
        <w:t xml:space="preserve"> </w:t>
      </w:r>
      <w:r w:rsidR="008D1ACE" w:rsidRPr="00D6665E">
        <w:rPr>
          <w:rFonts w:ascii="Times New Roman" w:hAnsi="Times New Roman" w:cs="Times New Roman"/>
          <w:sz w:val="24"/>
          <w:szCs w:val="24"/>
        </w:rPr>
        <w:t>08:30 a.m.  – 11:3</w:t>
      </w:r>
      <w:r w:rsidR="00911C80" w:rsidRPr="00D6665E">
        <w:rPr>
          <w:rFonts w:ascii="Times New Roman" w:hAnsi="Times New Roman" w:cs="Times New Roman"/>
          <w:sz w:val="24"/>
          <w:szCs w:val="24"/>
        </w:rPr>
        <w:t>0 p.m.</w:t>
      </w:r>
    </w:p>
    <w:p w:rsidR="00C6728A" w:rsidRPr="00D6665E" w:rsidRDefault="00C6728A" w:rsidP="004C2042">
      <w:pPr>
        <w:spacing w:after="0"/>
        <w:jc w:val="both"/>
        <w:rPr>
          <w:rFonts w:ascii="Times New Roman" w:hAnsi="Times New Roman" w:cs="Times New Roman"/>
          <w:b/>
          <w:sz w:val="24"/>
          <w:szCs w:val="24"/>
        </w:rPr>
      </w:pPr>
      <w:r w:rsidRPr="00D6665E">
        <w:rPr>
          <w:rFonts w:ascii="Times New Roman" w:hAnsi="Times New Roman" w:cs="Times New Roman"/>
          <w:b/>
          <w:sz w:val="24"/>
          <w:szCs w:val="24"/>
        </w:rPr>
        <w:t>LUGAR:</w:t>
      </w:r>
      <w:r w:rsidR="007A5E23" w:rsidRPr="00D6665E">
        <w:rPr>
          <w:rFonts w:ascii="Times New Roman" w:hAnsi="Times New Roman" w:cs="Times New Roman"/>
          <w:b/>
          <w:sz w:val="24"/>
          <w:szCs w:val="24"/>
        </w:rPr>
        <w:t xml:space="preserve"> </w:t>
      </w:r>
      <w:r w:rsidR="007A5E23" w:rsidRPr="00D6665E">
        <w:rPr>
          <w:rFonts w:ascii="Times New Roman" w:hAnsi="Times New Roman" w:cs="Times New Roman"/>
          <w:sz w:val="24"/>
          <w:szCs w:val="24"/>
        </w:rPr>
        <w:t>Bogotá,</w:t>
      </w:r>
      <w:r w:rsidR="004D1E57" w:rsidRPr="00D6665E">
        <w:rPr>
          <w:rFonts w:ascii="Times New Roman" w:hAnsi="Times New Roman" w:cs="Times New Roman"/>
          <w:sz w:val="24"/>
          <w:szCs w:val="24"/>
        </w:rPr>
        <w:t xml:space="preserve"> Cámara de Comercio de Bogotá - CCB</w:t>
      </w:r>
      <w:r w:rsidRPr="00D6665E">
        <w:rPr>
          <w:rFonts w:ascii="Times New Roman" w:hAnsi="Times New Roman" w:cs="Times New Roman"/>
          <w:b/>
          <w:sz w:val="24"/>
          <w:szCs w:val="24"/>
        </w:rPr>
        <w:t xml:space="preserve"> </w:t>
      </w:r>
      <w:r w:rsidR="008D1ACE" w:rsidRPr="00D6665E">
        <w:rPr>
          <w:rFonts w:ascii="Times New Roman" w:hAnsi="Times New Roman" w:cs="Times New Roman"/>
          <w:sz w:val="24"/>
          <w:szCs w:val="24"/>
        </w:rPr>
        <w:t>calle 67 # 8 – 32, Auditorio</w:t>
      </w:r>
      <w:r w:rsidR="007A5E23" w:rsidRPr="00D6665E">
        <w:rPr>
          <w:rFonts w:ascii="Times New Roman" w:hAnsi="Times New Roman" w:cs="Times New Roman"/>
          <w:sz w:val="24"/>
          <w:szCs w:val="24"/>
        </w:rPr>
        <w:t>.</w:t>
      </w:r>
      <w:r w:rsidR="00911C80" w:rsidRPr="00D6665E">
        <w:rPr>
          <w:rFonts w:ascii="Times New Roman" w:hAnsi="Times New Roman" w:cs="Times New Roman"/>
          <w:b/>
          <w:sz w:val="24"/>
          <w:szCs w:val="24"/>
        </w:rPr>
        <w:t xml:space="preserve"> </w:t>
      </w:r>
    </w:p>
    <w:p w:rsidR="00F36E81" w:rsidRPr="00D6665E" w:rsidRDefault="00F36E81" w:rsidP="004C2042">
      <w:pPr>
        <w:spacing w:after="0"/>
        <w:jc w:val="both"/>
        <w:rPr>
          <w:rFonts w:ascii="Times New Roman" w:hAnsi="Times New Roman" w:cs="Times New Roman"/>
          <w:b/>
          <w:sz w:val="24"/>
          <w:szCs w:val="24"/>
        </w:rPr>
      </w:pPr>
    </w:p>
    <w:p w:rsidR="002972D5" w:rsidRPr="00D6665E" w:rsidRDefault="002972D5" w:rsidP="004C2042">
      <w:pPr>
        <w:jc w:val="both"/>
        <w:rPr>
          <w:rFonts w:ascii="Times New Roman" w:hAnsi="Times New Roman" w:cs="Times New Roman"/>
          <w:b/>
          <w:sz w:val="24"/>
          <w:szCs w:val="24"/>
        </w:rPr>
      </w:pPr>
    </w:p>
    <w:p w:rsidR="00C6728A" w:rsidRPr="00D6665E" w:rsidRDefault="00C6728A" w:rsidP="004C2042">
      <w:pPr>
        <w:jc w:val="both"/>
        <w:rPr>
          <w:rFonts w:ascii="Times New Roman" w:hAnsi="Times New Roman" w:cs="Times New Roman"/>
          <w:b/>
          <w:sz w:val="24"/>
          <w:szCs w:val="24"/>
        </w:rPr>
      </w:pPr>
      <w:r w:rsidRPr="00D6665E">
        <w:rPr>
          <w:rFonts w:ascii="Times New Roman" w:hAnsi="Times New Roman" w:cs="Times New Roman"/>
          <w:b/>
          <w:sz w:val="24"/>
          <w:szCs w:val="24"/>
        </w:rPr>
        <w:t>ASISTENTES:</w:t>
      </w:r>
      <w:r w:rsidR="00764741" w:rsidRPr="00D6665E">
        <w:rPr>
          <w:rFonts w:ascii="Times New Roman" w:hAnsi="Times New Roman" w:cs="Times New Roman"/>
          <w:b/>
          <w:sz w:val="24"/>
          <w:szCs w:val="24"/>
        </w:rPr>
        <w:t xml:space="preserve"> </w:t>
      </w:r>
    </w:p>
    <w:p w:rsidR="006426E7" w:rsidRPr="00D6665E" w:rsidRDefault="008D1ACE" w:rsidP="004C2042">
      <w:pPr>
        <w:jc w:val="both"/>
        <w:rPr>
          <w:rFonts w:ascii="Times New Roman" w:hAnsi="Times New Roman" w:cs="Times New Roman"/>
          <w:sz w:val="24"/>
          <w:szCs w:val="24"/>
        </w:rPr>
      </w:pPr>
      <w:r w:rsidRPr="00D6665E">
        <w:rPr>
          <w:rFonts w:ascii="Times New Roman" w:hAnsi="Times New Roman" w:cs="Times New Roman"/>
          <w:sz w:val="24"/>
          <w:szCs w:val="24"/>
        </w:rPr>
        <w:t>Anexo 1: Listado de asistentes.</w:t>
      </w:r>
    </w:p>
    <w:p w:rsidR="002972D5" w:rsidRPr="00D6665E" w:rsidRDefault="002972D5" w:rsidP="004C2042">
      <w:pPr>
        <w:jc w:val="both"/>
        <w:rPr>
          <w:rFonts w:ascii="Times New Roman" w:hAnsi="Times New Roman" w:cs="Times New Roman"/>
          <w:b/>
          <w:sz w:val="24"/>
          <w:szCs w:val="24"/>
        </w:rPr>
      </w:pPr>
    </w:p>
    <w:p w:rsidR="00657F2F" w:rsidRPr="00D6665E" w:rsidRDefault="00BF0725" w:rsidP="004C2042">
      <w:pPr>
        <w:jc w:val="both"/>
        <w:rPr>
          <w:rFonts w:ascii="Times New Roman" w:hAnsi="Times New Roman" w:cs="Times New Roman"/>
          <w:b/>
          <w:sz w:val="24"/>
          <w:szCs w:val="24"/>
        </w:rPr>
      </w:pPr>
      <w:r w:rsidRPr="00D6665E">
        <w:rPr>
          <w:rFonts w:ascii="Times New Roman" w:hAnsi="Times New Roman" w:cs="Times New Roman"/>
          <w:b/>
          <w:sz w:val="24"/>
          <w:szCs w:val="24"/>
        </w:rPr>
        <w:t>AGENDA</w:t>
      </w:r>
      <w:r w:rsidR="00C6728A" w:rsidRPr="00D6665E">
        <w:rPr>
          <w:rFonts w:ascii="Times New Roman" w:hAnsi="Times New Roman" w:cs="Times New Roman"/>
          <w:b/>
          <w:sz w:val="24"/>
          <w:szCs w:val="24"/>
        </w:rPr>
        <w:t xml:space="preserve">: </w:t>
      </w:r>
    </w:p>
    <w:p w:rsidR="002972D5" w:rsidRPr="00D6665E" w:rsidRDefault="002972D5" w:rsidP="004C2042">
      <w:pPr>
        <w:jc w:val="both"/>
        <w:rPr>
          <w:rFonts w:ascii="Times New Roman" w:hAnsi="Times New Roman" w:cs="Times New Roman"/>
          <w:b/>
          <w:sz w:val="24"/>
          <w:szCs w:val="24"/>
        </w:rPr>
      </w:pPr>
    </w:p>
    <w:tbl>
      <w:tblPr>
        <w:tblStyle w:val="Tablaconcuadrcula"/>
        <w:tblW w:w="0" w:type="auto"/>
        <w:jc w:val="center"/>
        <w:tblLook w:val="04A0"/>
      </w:tblPr>
      <w:tblGrid>
        <w:gridCol w:w="8828"/>
      </w:tblGrid>
      <w:tr w:rsidR="00BF0725" w:rsidRPr="00D6665E" w:rsidTr="000C58FE">
        <w:trPr>
          <w:jc w:val="center"/>
        </w:trPr>
        <w:tc>
          <w:tcPr>
            <w:tcW w:w="8828" w:type="dxa"/>
            <w:shd w:val="clear" w:color="auto" w:fill="DEEAF6" w:themeFill="accent1" w:themeFillTint="33"/>
          </w:tcPr>
          <w:p w:rsidR="00BF0725" w:rsidRPr="00D6665E" w:rsidRDefault="00BF0725" w:rsidP="002B3993">
            <w:pPr>
              <w:jc w:val="center"/>
              <w:rPr>
                <w:rFonts w:ascii="Times New Roman" w:hAnsi="Times New Roman" w:cs="Times New Roman"/>
                <w:b/>
                <w:sz w:val="24"/>
                <w:szCs w:val="24"/>
              </w:rPr>
            </w:pPr>
            <w:r w:rsidRPr="00D6665E">
              <w:rPr>
                <w:rFonts w:ascii="Times New Roman" w:hAnsi="Times New Roman" w:cs="Times New Roman"/>
                <w:b/>
                <w:sz w:val="24"/>
                <w:szCs w:val="24"/>
              </w:rPr>
              <w:t>ACTIVIDAD</w:t>
            </w:r>
          </w:p>
        </w:tc>
      </w:tr>
      <w:tr w:rsidR="00BF0725" w:rsidRPr="00D6665E" w:rsidTr="00F67948">
        <w:trPr>
          <w:jc w:val="center"/>
        </w:trPr>
        <w:tc>
          <w:tcPr>
            <w:tcW w:w="8828" w:type="dxa"/>
          </w:tcPr>
          <w:p w:rsidR="00BF0725" w:rsidRPr="00D6665E" w:rsidRDefault="00BF0725" w:rsidP="00BF0725">
            <w:pPr>
              <w:pStyle w:val="Prrafodelista"/>
              <w:numPr>
                <w:ilvl w:val="0"/>
                <w:numId w:val="1"/>
              </w:numPr>
              <w:ind w:left="447"/>
              <w:jc w:val="both"/>
              <w:rPr>
                <w:rFonts w:ascii="Times New Roman" w:hAnsi="Times New Roman" w:cs="Times New Roman"/>
                <w:b/>
                <w:sz w:val="24"/>
                <w:szCs w:val="24"/>
              </w:rPr>
            </w:pPr>
            <w:r w:rsidRPr="00D6665E">
              <w:rPr>
                <w:rFonts w:ascii="Times New Roman" w:hAnsi="Times New Roman" w:cs="Times New Roman"/>
                <w:b/>
                <w:sz w:val="24"/>
                <w:szCs w:val="24"/>
              </w:rPr>
              <w:t>Presentación general del IDT</w:t>
            </w:r>
          </w:p>
          <w:p w:rsidR="00BF0725" w:rsidRPr="00D6665E" w:rsidRDefault="00BF0725" w:rsidP="002B3993">
            <w:pPr>
              <w:rPr>
                <w:rFonts w:ascii="Times New Roman" w:hAnsi="Times New Roman" w:cs="Times New Roman"/>
                <w:sz w:val="24"/>
                <w:szCs w:val="24"/>
              </w:rPr>
            </w:pPr>
          </w:p>
        </w:tc>
      </w:tr>
      <w:tr w:rsidR="00BF0725" w:rsidRPr="00D6665E" w:rsidTr="00BF0725">
        <w:trPr>
          <w:trHeight w:val="2107"/>
          <w:jc w:val="center"/>
        </w:trPr>
        <w:tc>
          <w:tcPr>
            <w:tcW w:w="8828" w:type="dxa"/>
          </w:tcPr>
          <w:p w:rsidR="00BF0725" w:rsidRPr="00D6665E" w:rsidRDefault="00BF0725" w:rsidP="00D75522">
            <w:pPr>
              <w:pStyle w:val="Prrafodelista"/>
              <w:numPr>
                <w:ilvl w:val="0"/>
                <w:numId w:val="1"/>
              </w:numPr>
              <w:ind w:left="447"/>
              <w:jc w:val="both"/>
              <w:rPr>
                <w:rFonts w:ascii="Times New Roman" w:hAnsi="Times New Roman" w:cs="Times New Roman"/>
                <w:b/>
                <w:sz w:val="24"/>
                <w:szCs w:val="24"/>
              </w:rPr>
            </w:pPr>
            <w:r w:rsidRPr="00D6665E">
              <w:rPr>
                <w:rFonts w:ascii="Times New Roman" w:hAnsi="Times New Roman" w:cs="Times New Roman"/>
                <w:b/>
                <w:sz w:val="24"/>
                <w:szCs w:val="24"/>
              </w:rPr>
              <w:t>Resultados de la gestión 2016</w:t>
            </w:r>
          </w:p>
          <w:p w:rsidR="00BF0725" w:rsidRPr="00D6665E" w:rsidRDefault="00BF0725" w:rsidP="00BF0725">
            <w:pPr>
              <w:pStyle w:val="Prrafodelista"/>
              <w:numPr>
                <w:ilvl w:val="1"/>
                <w:numId w:val="13"/>
              </w:numPr>
              <w:jc w:val="both"/>
              <w:rPr>
                <w:rFonts w:ascii="Times New Roman" w:hAnsi="Times New Roman" w:cs="Times New Roman"/>
                <w:sz w:val="24"/>
                <w:szCs w:val="24"/>
              </w:rPr>
            </w:pPr>
            <w:r w:rsidRPr="00D6665E">
              <w:rPr>
                <w:rFonts w:ascii="Times New Roman" w:hAnsi="Times New Roman" w:cs="Times New Roman"/>
                <w:sz w:val="24"/>
                <w:szCs w:val="24"/>
              </w:rPr>
              <w:t>Logros</w:t>
            </w:r>
          </w:p>
          <w:p w:rsidR="00BF0725" w:rsidRPr="00D6665E" w:rsidRDefault="00BF0725" w:rsidP="00BF0725">
            <w:pPr>
              <w:pStyle w:val="Prrafodelista"/>
              <w:numPr>
                <w:ilvl w:val="1"/>
                <w:numId w:val="13"/>
              </w:numPr>
              <w:jc w:val="both"/>
              <w:rPr>
                <w:rFonts w:ascii="Times New Roman" w:hAnsi="Times New Roman" w:cs="Times New Roman"/>
                <w:sz w:val="24"/>
                <w:szCs w:val="24"/>
              </w:rPr>
            </w:pPr>
            <w:r w:rsidRPr="00D6665E">
              <w:rPr>
                <w:rFonts w:ascii="Times New Roman" w:hAnsi="Times New Roman" w:cs="Times New Roman"/>
                <w:sz w:val="24"/>
                <w:szCs w:val="24"/>
              </w:rPr>
              <w:t>Cumplimiento de metas</w:t>
            </w:r>
          </w:p>
          <w:p w:rsidR="00BF0725" w:rsidRPr="00D6665E" w:rsidRDefault="00BF0725" w:rsidP="00BF0725">
            <w:pPr>
              <w:pStyle w:val="Prrafodelista"/>
              <w:numPr>
                <w:ilvl w:val="1"/>
                <w:numId w:val="13"/>
              </w:numPr>
              <w:jc w:val="both"/>
              <w:rPr>
                <w:rFonts w:ascii="Times New Roman" w:hAnsi="Times New Roman" w:cs="Times New Roman"/>
                <w:sz w:val="24"/>
                <w:szCs w:val="24"/>
              </w:rPr>
            </w:pPr>
            <w:r w:rsidRPr="00D6665E">
              <w:rPr>
                <w:rFonts w:ascii="Times New Roman" w:hAnsi="Times New Roman" w:cs="Times New Roman"/>
                <w:sz w:val="24"/>
                <w:szCs w:val="24"/>
              </w:rPr>
              <w:t>Ejecución presupuestal</w:t>
            </w:r>
          </w:p>
          <w:p w:rsidR="00BF0725" w:rsidRPr="00D6665E" w:rsidRDefault="00BF0725" w:rsidP="00BF0725">
            <w:pPr>
              <w:pStyle w:val="Prrafodelista"/>
              <w:numPr>
                <w:ilvl w:val="1"/>
                <w:numId w:val="13"/>
              </w:numPr>
              <w:jc w:val="both"/>
              <w:rPr>
                <w:rFonts w:ascii="Times New Roman" w:hAnsi="Times New Roman" w:cs="Times New Roman"/>
                <w:sz w:val="24"/>
                <w:szCs w:val="24"/>
              </w:rPr>
            </w:pPr>
            <w:r w:rsidRPr="00D6665E">
              <w:rPr>
                <w:rFonts w:ascii="Times New Roman" w:hAnsi="Times New Roman" w:cs="Times New Roman"/>
                <w:sz w:val="24"/>
                <w:szCs w:val="24"/>
              </w:rPr>
              <w:t>Información contractual</w:t>
            </w:r>
          </w:p>
          <w:p w:rsidR="00BF0725" w:rsidRPr="00D6665E" w:rsidRDefault="00BF0725" w:rsidP="00BF0725">
            <w:pPr>
              <w:pStyle w:val="Prrafodelista"/>
              <w:numPr>
                <w:ilvl w:val="1"/>
                <w:numId w:val="13"/>
              </w:numPr>
              <w:jc w:val="both"/>
              <w:rPr>
                <w:rFonts w:ascii="Times New Roman" w:hAnsi="Times New Roman" w:cs="Times New Roman"/>
                <w:sz w:val="24"/>
                <w:szCs w:val="24"/>
              </w:rPr>
            </w:pPr>
            <w:r w:rsidRPr="00D6665E">
              <w:rPr>
                <w:rFonts w:ascii="Times New Roman" w:hAnsi="Times New Roman" w:cs="Times New Roman"/>
                <w:sz w:val="24"/>
                <w:szCs w:val="24"/>
              </w:rPr>
              <w:t>Algunos Indicadores de sector turismo</w:t>
            </w:r>
          </w:p>
          <w:p w:rsidR="00BF0725" w:rsidRPr="00D6665E" w:rsidRDefault="00BF0725" w:rsidP="00BF0725">
            <w:pPr>
              <w:pStyle w:val="Prrafodelista"/>
              <w:numPr>
                <w:ilvl w:val="1"/>
                <w:numId w:val="13"/>
              </w:numPr>
              <w:jc w:val="both"/>
              <w:rPr>
                <w:rFonts w:ascii="Times New Roman" w:hAnsi="Times New Roman" w:cs="Times New Roman"/>
                <w:sz w:val="24"/>
                <w:szCs w:val="24"/>
              </w:rPr>
            </w:pPr>
            <w:r w:rsidRPr="00D6665E">
              <w:rPr>
                <w:rFonts w:ascii="Times New Roman" w:hAnsi="Times New Roman" w:cs="Times New Roman"/>
                <w:sz w:val="24"/>
                <w:szCs w:val="24"/>
              </w:rPr>
              <w:t>Transparencia, participación y servicio al ciudadano</w:t>
            </w:r>
          </w:p>
        </w:tc>
      </w:tr>
    </w:tbl>
    <w:p w:rsidR="00C6728A" w:rsidRPr="00D6665E" w:rsidRDefault="00C6728A" w:rsidP="004C2042">
      <w:pPr>
        <w:jc w:val="both"/>
        <w:rPr>
          <w:rFonts w:ascii="Times New Roman" w:hAnsi="Times New Roman" w:cs="Times New Roman"/>
          <w:b/>
          <w:sz w:val="24"/>
          <w:szCs w:val="24"/>
        </w:rPr>
      </w:pPr>
    </w:p>
    <w:p w:rsidR="00D10791" w:rsidRPr="00D6665E" w:rsidRDefault="00D10791" w:rsidP="004C2042">
      <w:pPr>
        <w:jc w:val="both"/>
        <w:rPr>
          <w:rFonts w:ascii="Times New Roman" w:hAnsi="Times New Roman" w:cs="Times New Roman"/>
          <w:b/>
          <w:sz w:val="24"/>
          <w:szCs w:val="24"/>
        </w:rPr>
      </w:pPr>
      <w:r w:rsidRPr="00D6665E">
        <w:rPr>
          <w:rFonts w:ascii="Times New Roman" w:hAnsi="Times New Roman" w:cs="Times New Roman"/>
          <w:b/>
          <w:sz w:val="24"/>
          <w:szCs w:val="24"/>
        </w:rPr>
        <w:t>OBJETIVO DE LA JORNADA:</w:t>
      </w:r>
    </w:p>
    <w:p w:rsidR="002972D5" w:rsidRPr="00D6665E" w:rsidRDefault="009C7B19" w:rsidP="002972D5">
      <w:pPr>
        <w:shd w:val="clear" w:color="auto" w:fill="FFFFFF"/>
        <w:jc w:val="both"/>
        <w:rPr>
          <w:rFonts w:ascii="Times New Roman" w:hAnsi="Times New Roman" w:cs="Times New Roman"/>
          <w:sz w:val="24"/>
          <w:szCs w:val="24"/>
        </w:rPr>
      </w:pPr>
      <w:r w:rsidRPr="00D6665E">
        <w:rPr>
          <w:rFonts w:ascii="Times New Roman" w:hAnsi="Times New Roman" w:cs="Times New Roman"/>
          <w:sz w:val="24"/>
          <w:szCs w:val="24"/>
        </w:rPr>
        <w:t xml:space="preserve">Realizar la jornada de </w:t>
      </w:r>
      <w:r w:rsidR="004D1E57" w:rsidRPr="00D6665E">
        <w:rPr>
          <w:rFonts w:ascii="Times New Roman" w:hAnsi="Times New Roman" w:cs="Times New Roman"/>
          <w:sz w:val="24"/>
          <w:szCs w:val="24"/>
        </w:rPr>
        <w:t>Rendición de Cuentas</w:t>
      </w:r>
      <w:r w:rsidR="00341B11" w:rsidRPr="00D6665E">
        <w:rPr>
          <w:rFonts w:ascii="Times New Roman" w:hAnsi="Times New Roman" w:cs="Times New Roman"/>
          <w:sz w:val="24"/>
          <w:szCs w:val="24"/>
        </w:rPr>
        <w:t xml:space="preserve"> del</w:t>
      </w:r>
      <w:r w:rsidR="004D1E57" w:rsidRPr="00D6665E">
        <w:rPr>
          <w:rFonts w:ascii="Times New Roman" w:hAnsi="Times New Roman" w:cs="Times New Roman"/>
          <w:sz w:val="24"/>
          <w:szCs w:val="24"/>
        </w:rPr>
        <w:t xml:space="preserve"> </w:t>
      </w:r>
      <w:r w:rsidR="00341B11" w:rsidRPr="00D6665E">
        <w:rPr>
          <w:rFonts w:ascii="Times New Roman" w:hAnsi="Times New Roman" w:cs="Times New Roman"/>
          <w:sz w:val="24"/>
          <w:szCs w:val="24"/>
        </w:rPr>
        <w:t>Instituto Distrital de Turismo - IDT</w:t>
      </w:r>
      <w:r w:rsidR="004D1E57" w:rsidRPr="00D6665E">
        <w:rPr>
          <w:rFonts w:ascii="Times New Roman" w:hAnsi="Times New Roman" w:cs="Times New Roman"/>
          <w:sz w:val="24"/>
          <w:szCs w:val="24"/>
        </w:rPr>
        <w:t xml:space="preserve"> 2016</w:t>
      </w:r>
      <w:r w:rsidR="00341B11" w:rsidRPr="00D6665E">
        <w:rPr>
          <w:rFonts w:ascii="Times New Roman" w:hAnsi="Times New Roman" w:cs="Times New Roman"/>
          <w:sz w:val="24"/>
          <w:szCs w:val="24"/>
        </w:rPr>
        <w:t>,</w:t>
      </w:r>
      <w:r w:rsidR="004D1E57" w:rsidRPr="00D6665E">
        <w:rPr>
          <w:rFonts w:ascii="Times New Roman" w:hAnsi="Times New Roman" w:cs="Times New Roman"/>
          <w:sz w:val="24"/>
          <w:szCs w:val="24"/>
        </w:rPr>
        <w:t xml:space="preserve"> </w:t>
      </w:r>
      <w:r w:rsidR="00A55364" w:rsidRPr="00D6665E">
        <w:rPr>
          <w:rFonts w:ascii="Times New Roman" w:hAnsi="Times New Roman" w:cs="Times New Roman"/>
          <w:sz w:val="24"/>
          <w:szCs w:val="24"/>
        </w:rPr>
        <w:t xml:space="preserve">en </w:t>
      </w:r>
      <w:r w:rsidRPr="00D6665E">
        <w:rPr>
          <w:rFonts w:ascii="Times New Roman" w:hAnsi="Times New Roman" w:cs="Times New Roman"/>
          <w:sz w:val="24"/>
          <w:szCs w:val="24"/>
        </w:rPr>
        <w:t>el marco del  Plan Anticorrupción y Atención al Ciudadano</w:t>
      </w:r>
      <w:r w:rsidRPr="00D6665E">
        <w:rPr>
          <w:rStyle w:val="Refdenotaalpie"/>
          <w:rFonts w:ascii="Times New Roman" w:hAnsi="Times New Roman" w:cs="Times New Roman"/>
          <w:sz w:val="24"/>
          <w:szCs w:val="24"/>
        </w:rPr>
        <w:footnoteReference w:id="1"/>
      </w:r>
      <w:r w:rsidRPr="00D6665E">
        <w:rPr>
          <w:rFonts w:ascii="Times New Roman" w:hAnsi="Times New Roman" w:cs="Times New Roman"/>
          <w:sz w:val="24"/>
          <w:szCs w:val="24"/>
        </w:rPr>
        <w:t xml:space="preserve"> en el cual se enuncia que todas las entidades del orden distrital deben rendir cuentas a la ciudadanía</w:t>
      </w:r>
      <w:r w:rsidRPr="00D6665E">
        <w:rPr>
          <w:rStyle w:val="Refdenotaalpie"/>
          <w:rFonts w:ascii="Times New Roman" w:hAnsi="Times New Roman" w:cs="Times New Roman"/>
          <w:sz w:val="24"/>
          <w:szCs w:val="24"/>
        </w:rPr>
        <w:footnoteReference w:id="2"/>
      </w:r>
      <w:r w:rsidRPr="00D6665E">
        <w:rPr>
          <w:rFonts w:ascii="Times New Roman" w:hAnsi="Times New Roman" w:cs="Times New Roman"/>
          <w:sz w:val="24"/>
          <w:szCs w:val="24"/>
        </w:rPr>
        <w:t>.</w:t>
      </w:r>
      <w:r w:rsidR="002972D5" w:rsidRPr="00D6665E">
        <w:rPr>
          <w:rFonts w:ascii="Times New Roman" w:hAnsi="Times New Roman" w:cs="Times New Roman"/>
          <w:sz w:val="24"/>
          <w:szCs w:val="24"/>
        </w:rPr>
        <w:t xml:space="preserve"> toda vez que es un deber administrativo responder ante la ciudadanía por el uso de los recursos, las decisiones y la gestión realizada en la vigencia, mediante ejercicio de Rendición de Cuentas, en audiencia pública, con información actualizada, completa, veraz y de fácil entendimiento a la ciudanía. </w:t>
      </w:r>
    </w:p>
    <w:p w:rsidR="00D75522" w:rsidRPr="00D6665E" w:rsidRDefault="00D75522" w:rsidP="00D75522">
      <w:pPr>
        <w:jc w:val="both"/>
        <w:rPr>
          <w:rFonts w:ascii="Times New Roman" w:hAnsi="Times New Roman" w:cs="Times New Roman"/>
          <w:sz w:val="24"/>
          <w:szCs w:val="24"/>
        </w:rPr>
      </w:pPr>
      <w:r w:rsidRPr="00D6665E">
        <w:rPr>
          <w:rFonts w:ascii="Times New Roman" w:hAnsi="Times New Roman" w:cs="Times New Roman"/>
          <w:sz w:val="24"/>
          <w:szCs w:val="24"/>
        </w:rPr>
        <w:lastRenderedPageBreak/>
        <w:t>Teniendo en cuenta lo anterior, se dio inicio a l</w:t>
      </w:r>
      <w:r w:rsidR="006F62FC" w:rsidRPr="00D6665E">
        <w:rPr>
          <w:rFonts w:ascii="Times New Roman" w:hAnsi="Times New Roman" w:cs="Times New Roman"/>
          <w:sz w:val="24"/>
          <w:szCs w:val="24"/>
        </w:rPr>
        <w:t>a actividad.</w:t>
      </w:r>
    </w:p>
    <w:p w:rsidR="00E57483" w:rsidRPr="00D6665E" w:rsidRDefault="00E57483" w:rsidP="00D75522">
      <w:pPr>
        <w:rPr>
          <w:rFonts w:ascii="Times New Roman" w:hAnsi="Times New Roman" w:cs="Times New Roman"/>
          <w:b/>
          <w:sz w:val="24"/>
          <w:szCs w:val="24"/>
        </w:rPr>
      </w:pPr>
    </w:p>
    <w:p w:rsidR="00E57483" w:rsidRPr="00D6665E" w:rsidRDefault="00D75522" w:rsidP="00D75522">
      <w:pPr>
        <w:rPr>
          <w:rFonts w:ascii="Times New Roman" w:hAnsi="Times New Roman" w:cs="Times New Roman"/>
          <w:b/>
          <w:sz w:val="24"/>
          <w:szCs w:val="24"/>
        </w:rPr>
      </w:pPr>
      <w:r w:rsidRPr="00D6665E">
        <w:rPr>
          <w:rFonts w:ascii="Times New Roman" w:hAnsi="Times New Roman" w:cs="Times New Roman"/>
          <w:b/>
          <w:sz w:val="24"/>
          <w:szCs w:val="24"/>
        </w:rPr>
        <w:t>DESARROLLO</w:t>
      </w:r>
      <w:r w:rsidR="000F4E0E" w:rsidRPr="00D6665E">
        <w:rPr>
          <w:rFonts w:ascii="Times New Roman" w:hAnsi="Times New Roman" w:cs="Times New Roman"/>
          <w:b/>
          <w:sz w:val="24"/>
          <w:szCs w:val="24"/>
        </w:rPr>
        <w:t xml:space="preserve"> DE LA JORNADA:</w:t>
      </w:r>
    </w:p>
    <w:p w:rsidR="00D75522" w:rsidRPr="00D6665E" w:rsidRDefault="00E57483" w:rsidP="00D75522">
      <w:pPr>
        <w:pStyle w:val="Prrafodelista"/>
        <w:numPr>
          <w:ilvl w:val="0"/>
          <w:numId w:val="3"/>
        </w:numPr>
        <w:ind w:left="284"/>
        <w:jc w:val="both"/>
        <w:rPr>
          <w:rFonts w:ascii="Times New Roman" w:hAnsi="Times New Roman" w:cs="Times New Roman"/>
          <w:b/>
          <w:sz w:val="24"/>
          <w:szCs w:val="24"/>
        </w:rPr>
      </w:pPr>
      <w:r w:rsidRPr="00D6665E">
        <w:rPr>
          <w:rFonts w:ascii="Times New Roman" w:hAnsi="Times New Roman" w:cs="Times New Roman"/>
          <w:b/>
          <w:sz w:val="24"/>
          <w:szCs w:val="24"/>
        </w:rPr>
        <w:t>PRESENTACIÓN GENERAL DEL IDT</w:t>
      </w:r>
    </w:p>
    <w:p w:rsidR="00D75522" w:rsidRPr="00D6665E" w:rsidRDefault="00D75522" w:rsidP="00D75522">
      <w:pPr>
        <w:jc w:val="both"/>
        <w:rPr>
          <w:rFonts w:ascii="Times New Roman" w:hAnsi="Times New Roman" w:cs="Times New Roman"/>
          <w:sz w:val="24"/>
          <w:szCs w:val="24"/>
        </w:rPr>
      </w:pPr>
      <w:r w:rsidRPr="00D6665E">
        <w:rPr>
          <w:rFonts w:ascii="Times New Roman" w:hAnsi="Times New Roman" w:cs="Times New Roman"/>
          <w:sz w:val="24"/>
          <w:szCs w:val="24"/>
        </w:rPr>
        <w:t>La apertura</w:t>
      </w:r>
      <w:r w:rsidR="001A2F4C" w:rsidRPr="00D6665E">
        <w:rPr>
          <w:rFonts w:ascii="Times New Roman" w:hAnsi="Times New Roman" w:cs="Times New Roman"/>
          <w:sz w:val="24"/>
          <w:szCs w:val="24"/>
        </w:rPr>
        <w:t xml:space="preserve"> y desarrollo de la J</w:t>
      </w:r>
      <w:r w:rsidRPr="00D6665E">
        <w:rPr>
          <w:rFonts w:ascii="Times New Roman" w:hAnsi="Times New Roman" w:cs="Times New Roman"/>
          <w:sz w:val="24"/>
          <w:szCs w:val="24"/>
        </w:rPr>
        <w:t>ornada</w:t>
      </w:r>
      <w:r w:rsidR="001A2F4C" w:rsidRPr="00D6665E">
        <w:rPr>
          <w:rFonts w:ascii="Times New Roman" w:hAnsi="Times New Roman" w:cs="Times New Roman"/>
          <w:sz w:val="24"/>
          <w:szCs w:val="24"/>
        </w:rPr>
        <w:t xml:space="preserve"> de Rendición de Cuentas IDT 2016,</w:t>
      </w:r>
      <w:r w:rsidRPr="00D6665E">
        <w:rPr>
          <w:rFonts w:ascii="Times New Roman" w:hAnsi="Times New Roman" w:cs="Times New Roman"/>
          <w:sz w:val="24"/>
          <w:szCs w:val="24"/>
        </w:rPr>
        <w:t xml:space="preserve"> estuvo a cargo de la Directora Adriana Marcela Gutiérrez Castañeda</w:t>
      </w:r>
      <w:r w:rsidR="001A2F4C" w:rsidRPr="00D6665E">
        <w:rPr>
          <w:rFonts w:ascii="Times New Roman" w:hAnsi="Times New Roman" w:cs="Times New Roman"/>
          <w:sz w:val="24"/>
          <w:szCs w:val="24"/>
        </w:rPr>
        <w:t>,</w:t>
      </w:r>
      <w:r w:rsidRPr="00D6665E">
        <w:rPr>
          <w:rFonts w:ascii="Times New Roman" w:hAnsi="Times New Roman" w:cs="Times New Roman"/>
          <w:sz w:val="24"/>
          <w:szCs w:val="24"/>
        </w:rPr>
        <w:t xml:space="preserve"> </w:t>
      </w:r>
      <w:r w:rsidR="001A2F4C" w:rsidRPr="00D6665E">
        <w:rPr>
          <w:rFonts w:ascii="Times New Roman" w:hAnsi="Times New Roman" w:cs="Times New Roman"/>
          <w:sz w:val="24"/>
          <w:szCs w:val="24"/>
        </w:rPr>
        <w:t>dando la bienvenida a los asistentes y público en general.</w:t>
      </w:r>
    </w:p>
    <w:p w:rsidR="001A2F4C" w:rsidRPr="00D6665E" w:rsidRDefault="00123871" w:rsidP="00D75522">
      <w:pPr>
        <w:jc w:val="both"/>
        <w:rPr>
          <w:rFonts w:ascii="Times New Roman" w:hAnsi="Times New Roman" w:cs="Times New Roman"/>
          <w:sz w:val="24"/>
          <w:szCs w:val="24"/>
        </w:rPr>
      </w:pPr>
      <w:r w:rsidRPr="00D6665E">
        <w:rPr>
          <w:rFonts w:ascii="Times New Roman" w:hAnsi="Times New Roman" w:cs="Times New Roman"/>
          <w:sz w:val="24"/>
          <w:szCs w:val="24"/>
        </w:rPr>
        <w:t>Siguiendo con la</w:t>
      </w:r>
      <w:r w:rsidR="001A2F4C" w:rsidRPr="00D6665E">
        <w:rPr>
          <w:rFonts w:ascii="Times New Roman" w:hAnsi="Times New Roman" w:cs="Times New Roman"/>
          <w:sz w:val="24"/>
          <w:szCs w:val="24"/>
        </w:rPr>
        <w:t xml:space="preserve"> presentación general del IDT,</w:t>
      </w:r>
      <w:r w:rsidRPr="00D6665E">
        <w:rPr>
          <w:rFonts w:ascii="Times New Roman" w:hAnsi="Times New Roman" w:cs="Times New Roman"/>
          <w:sz w:val="24"/>
          <w:szCs w:val="24"/>
        </w:rPr>
        <w:t xml:space="preserve"> establecida </w:t>
      </w:r>
      <w:r w:rsidR="00165E24" w:rsidRPr="00D6665E">
        <w:rPr>
          <w:rFonts w:ascii="Times New Roman" w:hAnsi="Times New Roman" w:cs="Times New Roman"/>
          <w:sz w:val="24"/>
          <w:szCs w:val="24"/>
        </w:rPr>
        <w:t xml:space="preserve">como primer punto </w:t>
      </w:r>
      <w:r w:rsidRPr="00D6665E">
        <w:rPr>
          <w:rFonts w:ascii="Times New Roman" w:hAnsi="Times New Roman" w:cs="Times New Roman"/>
          <w:sz w:val="24"/>
          <w:szCs w:val="24"/>
        </w:rPr>
        <w:t xml:space="preserve">en la agenda del día, </w:t>
      </w:r>
      <w:r w:rsidR="001A2F4C" w:rsidRPr="00D6665E">
        <w:rPr>
          <w:rFonts w:ascii="Times New Roman" w:hAnsi="Times New Roman" w:cs="Times New Roman"/>
          <w:sz w:val="24"/>
          <w:szCs w:val="24"/>
        </w:rPr>
        <w:t>la directora de</w:t>
      </w:r>
      <w:r w:rsidR="00165E24" w:rsidRPr="00D6665E">
        <w:rPr>
          <w:rFonts w:ascii="Times New Roman" w:hAnsi="Times New Roman" w:cs="Times New Roman"/>
          <w:sz w:val="24"/>
          <w:szCs w:val="24"/>
        </w:rPr>
        <w:t>l Instituto estableció los alcances y razón de ser de la entidad, plasmados en su Misión y Visión</w:t>
      </w:r>
      <w:r w:rsidR="001A2F4C" w:rsidRPr="00D6665E">
        <w:rPr>
          <w:rFonts w:ascii="Times New Roman" w:hAnsi="Times New Roman" w:cs="Times New Roman"/>
          <w:sz w:val="24"/>
          <w:szCs w:val="24"/>
        </w:rPr>
        <w:t>:</w:t>
      </w:r>
    </w:p>
    <w:p w:rsidR="00165E24" w:rsidRPr="00D6665E" w:rsidRDefault="00165E24" w:rsidP="00165E24">
      <w:pPr>
        <w:pStyle w:val="Prrafodelista"/>
        <w:numPr>
          <w:ilvl w:val="0"/>
          <w:numId w:val="14"/>
        </w:numPr>
        <w:jc w:val="both"/>
        <w:rPr>
          <w:rFonts w:ascii="Times New Roman" w:hAnsi="Times New Roman" w:cs="Times New Roman"/>
          <w:b/>
          <w:sz w:val="24"/>
          <w:szCs w:val="24"/>
        </w:rPr>
      </w:pPr>
      <w:r w:rsidRPr="00D6665E">
        <w:rPr>
          <w:rFonts w:ascii="Times New Roman" w:hAnsi="Times New Roman" w:cs="Times New Roman"/>
          <w:b/>
          <w:sz w:val="24"/>
          <w:szCs w:val="24"/>
        </w:rPr>
        <w:t>Misión:</w:t>
      </w:r>
    </w:p>
    <w:p w:rsidR="00165E24" w:rsidRPr="00D6665E" w:rsidRDefault="00165E24" w:rsidP="00165E24">
      <w:pPr>
        <w:jc w:val="both"/>
        <w:rPr>
          <w:rFonts w:ascii="Times New Roman" w:hAnsi="Times New Roman" w:cs="Times New Roman"/>
          <w:sz w:val="24"/>
          <w:szCs w:val="24"/>
        </w:rPr>
      </w:pPr>
      <w:r w:rsidRPr="00D6665E">
        <w:rPr>
          <w:rFonts w:ascii="Times New Roman" w:hAnsi="Times New Roman" w:cs="Times New Roman"/>
          <w:sz w:val="24"/>
          <w:szCs w:val="24"/>
          <w:lang w:val="es-ES"/>
        </w:rPr>
        <w:t>“Liderar la ejecución de políticas, planes y proyectos orientados a promocionar  y posicionar a Bogotá como destino turístico a través del mejoramiento de sus recursos, su infraestructura soporte y el diseño de productos innovadores que contribuyan al desarrollo económico, confianza y felicidad de sus ciudadanos y visitantes”.</w:t>
      </w:r>
    </w:p>
    <w:p w:rsidR="00165E24" w:rsidRPr="00D6665E" w:rsidRDefault="00165E24" w:rsidP="00165E24">
      <w:pPr>
        <w:pStyle w:val="Prrafodelista"/>
        <w:numPr>
          <w:ilvl w:val="0"/>
          <w:numId w:val="14"/>
        </w:numPr>
        <w:jc w:val="both"/>
        <w:rPr>
          <w:rFonts w:ascii="Times New Roman" w:hAnsi="Times New Roman" w:cs="Times New Roman"/>
          <w:b/>
          <w:sz w:val="24"/>
          <w:szCs w:val="24"/>
        </w:rPr>
      </w:pPr>
      <w:r w:rsidRPr="00D6665E">
        <w:rPr>
          <w:rFonts w:ascii="Times New Roman" w:hAnsi="Times New Roman" w:cs="Times New Roman"/>
          <w:b/>
          <w:sz w:val="24"/>
          <w:szCs w:val="24"/>
        </w:rPr>
        <w:t>Visión:</w:t>
      </w:r>
    </w:p>
    <w:p w:rsidR="00071096" w:rsidRPr="00D6665E" w:rsidRDefault="00165E24" w:rsidP="00165E24">
      <w:pPr>
        <w:jc w:val="both"/>
        <w:rPr>
          <w:rFonts w:ascii="Times New Roman" w:hAnsi="Times New Roman" w:cs="Times New Roman"/>
          <w:sz w:val="24"/>
          <w:szCs w:val="24"/>
          <w:lang w:val="es-ES"/>
        </w:rPr>
      </w:pPr>
      <w:r w:rsidRPr="00D6665E">
        <w:rPr>
          <w:rFonts w:ascii="Times New Roman" w:hAnsi="Times New Roman" w:cs="Times New Roman"/>
          <w:sz w:val="24"/>
          <w:szCs w:val="24"/>
          <w:lang w:val="es-ES"/>
        </w:rPr>
        <w:t>“En 2026 el IDT será la entidad líder e innovadora en gestión eficiente del sector turístico y promoción de ciudad para hacer de Bogotá el primer destino sostenible y accesible de la región”.</w:t>
      </w:r>
    </w:p>
    <w:p w:rsidR="00165E24" w:rsidRPr="00D6665E" w:rsidRDefault="00E57483" w:rsidP="00071096">
      <w:pPr>
        <w:pStyle w:val="Prrafodelista"/>
        <w:numPr>
          <w:ilvl w:val="0"/>
          <w:numId w:val="3"/>
        </w:numPr>
        <w:ind w:left="284"/>
        <w:jc w:val="both"/>
        <w:rPr>
          <w:rFonts w:ascii="Times New Roman" w:hAnsi="Times New Roman" w:cs="Times New Roman"/>
          <w:b/>
          <w:sz w:val="24"/>
          <w:szCs w:val="24"/>
        </w:rPr>
      </w:pPr>
      <w:r w:rsidRPr="00D6665E">
        <w:rPr>
          <w:rFonts w:ascii="Times New Roman" w:hAnsi="Times New Roman" w:cs="Times New Roman"/>
          <w:b/>
          <w:sz w:val="24"/>
          <w:szCs w:val="24"/>
        </w:rPr>
        <w:t>RESULTADOS DE LA GESTIÓN 2016</w:t>
      </w:r>
    </w:p>
    <w:p w:rsidR="00E57483" w:rsidRPr="00D6665E" w:rsidRDefault="00E57483" w:rsidP="00E57483">
      <w:pPr>
        <w:pStyle w:val="Prrafodelista"/>
        <w:ind w:left="284"/>
        <w:jc w:val="both"/>
        <w:rPr>
          <w:rFonts w:ascii="Times New Roman" w:hAnsi="Times New Roman" w:cs="Times New Roman"/>
          <w:b/>
          <w:sz w:val="24"/>
          <w:szCs w:val="24"/>
        </w:rPr>
      </w:pPr>
    </w:p>
    <w:p w:rsidR="00E57483" w:rsidRPr="00D6665E" w:rsidRDefault="006F62FC" w:rsidP="00E57483">
      <w:pPr>
        <w:pStyle w:val="Prrafodelista"/>
        <w:ind w:left="284"/>
        <w:jc w:val="both"/>
        <w:rPr>
          <w:rFonts w:ascii="Times New Roman" w:hAnsi="Times New Roman" w:cs="Times New Roman"/>
          <w:sz w:val="24"/>
          <w:szCs w:val="24"/>
        </w:rPr>
      </w:pPr>
      <w:r w:rsidRPr="00D6665E">
        <w:rPr>
          <w:rFonts w:ascii="Times New Roman" w:hAnsi="Times New Roman" w:cs="Times New Roman"/>
          <w:sz w:val="24"/>
          <w:szCs w:val="24"/>
        </w:rPr>
        <w:t>Siguiendo con la Agenda del día, la Directora prosiguió con el segundo punto establecido, el cual contempló los “resultados de las gestión IDT 2016”. Como preámbulo al tema se estableció que e</w:t>
      </w:r>
      <w:r w:rsidR="00E57483" w:rsidRPr="00D6665E">
        <w:rPr>
          <w:rFonts w:ascii="Times New Roman" w:hAnsi="Times New Roman" w:cs="Times New Roman"/>
          <w:sz w:val="24"/>
          <w:szCs w:val="24"/>
        </w:rPr>
        <w:t>l turismo en el Plan de Desarrollo Distrital – PDD contempla:</w:t>
      </w:r>
    </w:p>
    <w:p w:rsidR="00E57483" w:rsidRPr="00D6665E" w:rsidRDefault="00E57483" w:rsidP="00E57483">
      <w:pPr>
        <w:pStyle w:val="Prrafodelista"/>
        <w:numPr>
          <w:ilvl w:val="0"/>
          <w:numId w:val="14"/>
        </w:numPr>
        <w:jc w:val="both"/>
        <w:rPr>
          <w:rFonts w:ascii="Times New Roman" w:hAnsi="Times New Roman" w:cs="Times New Roman"/>
          <w:sz w:val="24"/>
          <w:szCs w:val="24"/>
        </w:rPr>
      </w:pPr>
      <w:r w:rsidRPr="00D6665E">
        <w:rPr>
          <w:rFonts w:ascii="Times New Roman" w:hAnsi="Times New Roman" w:cs="Times New Roman"/>
          <w:sz w:val="24"/>
          <w:szCs w:val="24"/>
        </w:rPr>
        <w:t>Eje transversal: desarrollo económico basado en el conocimiento</w:t>
      </w:r>
    </w:p>
    <w:p w:rsidR="00E57483" w:rsidRPr="00D6665E" w:rsidRDefault="00E57483" w:rsidP="00E57483">
      <w:pPr>
        <w:pStyle w:val="Prrafodelista"/>
        <w:numPr>
          <w:ilvl w:val="0"/>
          <w:numId w:val="14"/>
        </w:numPr>
        <w:jc w:val="both"/>
        <w:rPr>
          <w:rFonts w:ascii="Times New Roman" w:hAnsi="Times New Roman" w:cs="Times New Roman"/>
          <w:sz w:val="24"/>
          <w:szCs w:val="24"/>
        </w:rPr>
      </w:pPr>
      <w:r w:rsidRPr="00D6665E">
        <w:rPr>
          <w:rFonts w:ascii="Times New Roman" w:hAnsi="Times New Roman" w:cs="Times New Roman"/>
          <w:sz w:val="24"/>
          <w:szCs w:val="24"/>
        </w:rPr>
        <w:t xml:space="preserve">Programa: </w:t>
      </w:r>
      <w:r w:rsidRPr="00D6665E">
        <w:rPr>
          <w:rFonts w:ascii="Times New Roman" w:hAnsi="Times New Roman" w:cs="Times New Roman"/>
          <w:bCs/>
          <w:sz w:val="24"/>
          <w:szCs w:val="24"/>
        </w:rPr>
        <w:t>Consolidar el turismo como factor de desarrollo, confianza y felicidad para Bogotá Región.</w:t>
      </w:r>
    </w:p>
    <w:p w:rsidR="00E57483" w:rsidRPr="00D6665E" w:rsidRDefault="00E57483" w:rsidP="00E57483">
      <w:pPr>
        <w:pStyle w:val="Prrafodelista"/>
        <w:numPr>
          <w:ilvl w:val="0"/>
          <w:numId w:val="14"/>
        </w:numPr>
        <w:jc w:val="both"/>
        <w:rPr>
          <w:rFonts w:ascii="Times New Roman" w:hAnsi="Times New Roman" w:cs="Times New Roman"/>
          <w:sz w:val="24"/>
          <w:szCs w:val="24"/>
        </w:rPr>
      </w:pPr>
      <w:r w:rsidRPr="00D6665E">
        <w:rPr>
          <w:rFonts w:ascii="Times New Roman" w:hAnsi="Times New Roman" w:cs="Times New Roman"/>
          <w:bCs/>
          <w:sz w:val="24"/>
          <w:szCs w:val="24"/>
        </w:rPr>
        <w:t xml:space="preserve">Proyectos estratégicos: </w:t>
      </w:r>
    </w:p>
    <w:p w:rsidR="00E57483" w:rsidRPr="00D6665E" w:rsidRDefault="00E57483" w:rsidP="00E57483">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173 - Bogotá recupera sus atractivos para un mejor turismo.</w:t>
      </w:r>
    </w:p>
    <w:p w:rsidR="00E57483" w:rsidRPr="00D6665E" w:rsidRDefault="00E57483" w:rsidP="00E57483">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175 - Fortalecimiento de los productos turísticos y de la cadena de valor del turismo de Bogotá.</w:t>
      </w:r>
    </w:p>
    <w:p w:rsidR="00E57483" w:rsidRPr="00D6665E" w:rsidRDefault="00E57483" w:rsidP="00E57483">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174 - Fortalecimiento de la red distrital de información turística.</w:t>
      </w:r>
    </w:p>
    <w:p w:rsidR="00E57483" w:rsidRPr="00D6665E" w:rsidRDefault="00E57483" w:rsidP="00E57483">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lang w:val="es-ES"/>
        </w:rPr>
        <w:t>176 - Posicionamiento de Bogotá como destino turístico.</w:t>
      </w:r>
    </w:p>
    <w:p w:rsidR="00E57483" w:rsidRPr="00D6665E" w:rsidRDefault="00E57483" w:rsidP="00E57483">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185 - Fortalecimiento a la gestión pública efectiva y eficiente.</w:t>
      </w:r>
    </w:p>
    <w:p w:rsidR="00E57483" w:rsidRPr="00D6665E" w:rsidRDefault="00E57483" w:rsidP="00E57483">
      <w:pPr>
        <w:jc w:val="both"/>
        <w:rPr>
          <w:rFonts w:ascii="Times New Roman" w:hAnsi="Times New Roman" w:cs="Times New Roman"/>
          <w:sz w:val="24"/>
          <w:szCs w:val="24"/>
        </w:rPr>
      </w:pPr>
      <w:r w:rsidRPr="00D6665E">
        <w:rPr>
          <w:rFonts w:ascii="Times New Roman" w:hAnsi="Times New Roman" w:cs="Times New Roman"/>
          <w:sz w:val="24"/>
          <w:szCs w:val="24"/>
        </w:rPr>
        <w:t>Basado en lo anterior, se procedió a explicar:</w:t>
      </w:r>
    </w:p>
    <w:p w:rsidR="001A2F4C" w:rsidRPr="00D6665E" w:rsidRDefault="00E57483" w:rsidP="00E57483">
      <w:pPr>
        <w:pStyle w:val="Prrafodelista"/>
        <w:numPr>
          <w:ilvl w:val="1"/>
          <w:numId w:val="3"/>
        </w:numPr>
        <w:jc w:val="both"/>
        <w:rPr>
          <w:rFonts w:ascii="Times New Roman" w:hAnsi="Times New Roman" w:cs="Times New Roman"/>
          <w:b/>
          <w:sz w:val="24"/>
          <w:szCs w:val="24"/>
        </w:rPr>
      </w:pPr>
      <w:r w:rsidRPr="00D6665E">
        <w:rPr>
          <w:rFonts w:ascii="Times New Roman" w:hAnsi="Times New Roman" w:cs="Times New Roman"/>
          <w:b/>
          <w:sz w:val="24"/>
          <w:szCs w:val="24"/>
        </w:rPr>
        <w:lastRenderedPageBreak/>
        <w:t>Logros</w:t>
      </w:r>
    </w:p>
    <w:p w:rsidR="00E57483" w:rsidRPr="00D6665E" w:rsidRDefault="008D1350" w:rsidP="00E57483">
      <w:pPr>
        <w:jc w:val="both"/>
        <w:rPr>
          <w:rFonts w:ascii="Times New Roman" w:hAnsi="Times New Roman" w:cs="Times New Roman"/>
          <w:sz w:val="24"/>
          <w:szCs w:val="24"/>
        </w:rPr>
      </w:pPr>
      <w:r w:rsidRPr="00D6665E">
        <w:rPr>
          <w:rFonts w:ascii="Times New Roman" w:hAnsi="Times New Roman" w:cs="Times New Roman"/>
          <w:sz w:val="24"/>
          <w:szCs w:val="24"/>
        </w:rPr>
        <w:t>En el marco de la consecución de logros</w:t>
      </w:r>
      <w:r w:rsidR="00FE05ED" w:rsidRPr="00D6665E">
        <w:rPr>
          <w:rFonts w:ascii="Times New Roman" w:hAnsi="Times New Roman" w:cs="Times New Roman"/>
          <w:sz w:val="24"/>
          <w:szCs w:val="24"/>
        </w:rPr>
        <w:t xml:space="preserve"> del Instituto,</w:t>
      </w:r>
      <w:r w:rsidRPr="00D6665E">
        <w:rPr>
          <w:rFonts w:ascii="Times New Roman" w:hAnsi="Times New Roman" w:cs="Times New Roman"/>
          <w:sz w:val="24"/>
          <w:szCs w:val="24"/>
        </w:rPr>
        <w:t xml:space="preserve"> durante la vigencia 2016, se destacaron:</w:t>
      </w:r>
    </w:p>
    <w:p w:rsidR="008D1350" w:rsidRPr="00D6665E" w:rsidRDefault="008D1350" w:rsidP="008D1350">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Logros en competitividad y cultura turística:</w:t>
      </w:r>
    </w:p>
    <w:p w:rsidR="008D1350" w:rsidRPr="00D6665E" w:rsidRDefault="008D1350" w:rsidP="008D1350">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Reformulación de la política pública del turismo: 600 Actores y representantes del sector del turismo y de las 20 localidades de Bogotá.</w:t>
      </w:r>
    </w:p>
    <w:p w:rsidR="008D1350" w:rsidRPr="00D6665E" w:rsidRDefault="008D1350" w:rsidP="008D1350">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Capacitación sobre cultura turística: 2.400 personas del sector turismo entre las que se encuentran conductores de taxi.</w:t>
      </w:r>
    </w:p>
    <w:p w:rsidR="008D1350" w:rsidRPr="00D6665E" w:rsidRDefault="008D1350" w:rsidP="008D1350">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 xml:space="preserve">Capacitación </w:t>
      </w:r>
      <w:r w:rsidR="00E72EDB" w:rsidRPr="00D6665E">
        <w:rPr>
          <w:rFonts w:ascii="Times New Roman" w:hAnsi="Times New Roman" w:cs="Times New Roman"/>
          <w:sz w:val="24"/>
          <w:szCs w:val="24"/>
        </w:rPr>
        <w:t xml:space="preserve">de </w:t>
      </w:r>
      <w:r w:rsidRPr="00D6665E">
        <w:rPr>
          <w:rFonts w:ascii="Times New Roman" w:hAnsi="Times New Roman" w:cs="Times New Roman"/>
          <w:sz w:val="24"/>
          <w:szCs w:val="24"/>
        </w:rPr>
        <w:t>prevención</w:t>
      </w:r>
      <w:r w:rsidR="00E72EDB" w:rsidRPr="00D6665E">
        <w:rPr>
          <w:rFonts w:ascii="Times New Roman" w:hAnsi="Times New Roman" w:cs="Times New Roman"/>
          <w:sz w:val="24"/>
          <w:szCs w:val="24"/>
        </w:rPr>
        <w:t xml:space="preserve"> de la Explotación Sexual Comercial de Niños, Niñas y Adolescentes -</w:t>
      </w:r>
      <w:r w:rsidRPr="00D6665E">
        <w:rPr>
          <w:rFonts w:ascii="Times New Roman" w:hAnsi="Times New Roman" w:cs="Times New Roman"/>
          <w:sz w:val="24"/>
          <w:szCs w:val="24"/>
        </w:rPr>
        <w:t xml:space="preserve"> ESCNNA: 1.186 personas capacitadas, pertenecientes a 22 establecimientos del turismo.</w:t>
      </w:r>
    </w:p>
    <w:p w:rsidR="00FE05ED" w:rsidRPr="00D6665E" w:rsidRDefault="008D1350" w:rsidP="008D1350">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 xml:space="preserve">Implementación de normas técnicas de sostenibilidad: </w:t>
      </w:r>
      <w:r w:rsidR="00FE05ED" w:rsidRPr="00D6665E">
        <w:rPr>
          <w:rFonts w:ascii="Times New Roman" w:hAnsi="Times New Roman" w:cs="Times New Roman"/>
          <w:sz w:val="24"/>
          <w:szCs w:val="24"/>
        </w:rPr>
        <w:t>60 prestadores de servicios turísticos.</w:t>
      </w:r>
    </w:p>
    <w:p w:rsidR="00FE05ED" w:rsidRPr="00D6665E" w:rsidRDefault="00FE05ED" w:rsidP="008D1350">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Transformación digital: 600 empresarios y actores del sector turístico.</w:t>
      </w:r>
    </w:p>
    <w:p w:rsidR="00FE05ED" w:rsidRPr="00D6665E" w:rsidRDefault="00FE05ED" w:rsidP="008D1350">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Formación de camareras para hoteles y apalancamiento laboral: 60 beneficiarias a través del convenio SDDE – SENA – COTELCO.</w:t>
      </w:r>
    </w:p>
    <w:p w:rsidR="00A171CB" w:rsidRPr="00D6665E" w:rsidRDefault="00A171CB" w:rsidP="00A171CB">
      <w:pPr>
        <w:pStyle w:val="Prrafodelista"/>
        <w:ind w:left="1080"/>
        <w:jc w:val="both"/>
        <w:rPr>
          <w:rFonts w:ascii="Times New Roman" w:hAnsi="Times New Roman" w:cs="Times New Roman"/>
          <w:sz w:val="24"/>
          <w:szCs w:val="24"/>
        </w:rPr>
      </w:pPr>
    </w:p>
    <w:p w:rsidR="008D1350" w:rsidRPr="00D6665E" w:rsidRDefault="00FE05ED" w:rsidP="00FE05ED">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Logros en productos y atractivos turísticos:</w:t>
      </w:r>
    </w:p>
    <w:p w:rsidR="008D1350" w:rsidRPr="00D6665E" w:rsidRDefault="00FE05ED" w:rsidP="008D1350">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Producto cultural:</w:t>
      </w:r>
      <w:r w:rsidR="000D3AD9" w:rsidRPr="00D6665E">
        <w:rPr>
          <w:rFonts w:ascii="Times New Roman" w:hAnsi="Times New Roman" w:cs="Times New Roman"/>
          <w:sz w:val="24"/>
          <w:szCs w:val="24"/>
        </w:rPr>
        <w:t xml:space="preserve"> 250 participantes (demandantes y oferentes) en</w:t>
      </w:r>
      <w:r w:rsidRPr="00D6665E">
        <w:rPr>
          <w:rFonts w:ascii="Times New Roman" w:hAnsi="Times New Roman" w:cs="Times New Roman"/>
          <w:sz w:val="24"/>
          <w:szCs w:val="24"/>
        </w:rPr>
        <w:t xml:space="preserve"> rueda de negocios cultura y turismo</w:t>
      </w:r>
      <w:r w:rsidR="000D3AD9" w:rsidRPr="00D6665E">
        <w:rPr>
          <w:rFonts w:ascii="Times New Roman" w:hAnsi="Times New Roman" w:cs="Times New Roman"/>
          <w:sz w:val="24"/>
          <w:szCs w:val="24"/>
        </w:rPr>
        <w:t>. Lanzamiento de 3 guías (Muse</w:t>
      </w:r>
      <w:r w:rsidR="00F50B32" w:rsidRPr="00D6665E">
        <w:rPr>
          <w:rFonts w:ascii="Times New Roman" w:hAnsi="Times New Roman" w:cs="Times New Roman"/>
          <w:sz w:val="24"/>
          <w:szCs w:val="24"/>
        </w:rPr>
        <w:t xml:space="preserve">os de Bogotá, Turismo Cultural y </w:t>
      </w:r>
      <w:r w:rsidRPr="00D6665E">
        <w:rPr>
          <w:rFonts w:ascii="Times New Roman" w:hAnsi="Times New Roman" w:cs="Times New Roman"/>
          <w:sz w:val="24"/>
          <w:szCs w:val="24"/>
        </w:rPr>
        <w:t xml:space="preserve"> </w:t>
      </w:r>
      <w:r w:rsidR="00F50B32" w:rsidRPr="00D6665E">
        <w:rPr>
          <w:rFonts w:ascii="Times New Roman" w:hAnsi="Times New Roman" w:cs="Times New Roman"/>
          <w:sz w:val="24"/>
          <w:szCs w:val="24"/>
        </w:rPr>
        <w:t>Mapa guía “Tras las huellas de Gabo en Bogotá”). Cinco recorridos temáticos.</w:t>
      </w:r>
    </w:p>
    <w:p w:rsidR="00F50B32" w:rsidRPr="00D6665E" w:rsidRDefault="00B43B7F" w:rsidP="008D1350">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Producto Naturaleza: r</w:t>
      </w:r>
      <w:r w:rsidR="00F50B32" w:rsidRPr="00D6665E">
        <w:rPr>
          <w:rFonts w:ascii="Times New Roman" w:hAnsi="Times New Roman" w:cs="Times New Roman"/>
          <w:sz w:val="24"/>
          <w:szCs w:val="24"/>
        </w:rPr>
        <w:t xml:space="preserve">ealización  de la IV Feria Ambiental y Territorial las Delicias con 3 barrios beneficiados, 200 asistentes, 513 plantas ornamentales y 32 árboles sembrados. </w:t>
      </w:r>
    </w:p>
    <w:p w:rsidR="00B43B7F" w:rsidRPr="00D6665E" w:rsidRDefault="00B43B7F" w:rsidP="00B43B7F">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Turismo gastronómico: activación del producto turístico gastronómico de Bogotá en la vitrina turística de ANATO, con la participación de más de 1.500 personas. Elaboración de 1.500 guías gastronómicas de Bogotá (español e inglés). Realización del Día del Ajiaco Santafereño.</w:t>
      </w:r>
    </w:p>
    <w:p w:rsidR="00B43B7F" w:rsidRPr="00D6665E" w:rsidRDefault="00B43B7F" w:rsidP="00B43B7F">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Recuperación de atractivos turísticos: diseño para la intervención de la Plazoleta del Chorro de Quevedo, en alianza con IDPC.</w:t>
      </w:r>
    </w:p>
    <w:p w:rsidR="00B43B7F" w:rsidRPr="00D6665E" w:rsidRDefault="00B43B7F" w:rsidP="00B43B7F">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Señalización: mantenimiento de 75 señales centro histórico. Asesoría en señalización turística, 9 señales en la localidad de Teusaquillo.</w:t>
      </w:r>
    </w:p>
    <w:p w:rsidR="00B43B7F" w:rsidRPr="00D6665E" w:rsidRDefault="00B43B7F" w:rsidP="00B43B7F">
      <w:pPr>
        <w:pStyle w:val="Prrafodelista"/>
        <w:ind w:left="1080"/>
        <w:jc w:val="both"/>
        <w:rPr>
          <w:rFonts w:ascii="Times New Roman" w:hAnsi="Times New Roman" w:cs="Times New Roman"/>
          <w:sz w:val="24"/>
          <w:szCs w:val="24"/>
        </w:rPr>
      </w:pPr>
    </w:p>
    <w:p w:rsidR="00B43B7F" w:rsidRPr="00D6665E" w:rsidRDefault="00B43B7F" w:rsidP="00B43B7F">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Logros en promoción y mercadeo:</w:t>
      </w:r>
    </w:p>
    <w:p w:rsidR="00107879" w:rsidRPr="00D6665E" w:rsidRDefault="00B43B7F" w:rsidP="00107879">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Promoción de destino turístico en eventos de ciudad</w:t>
      </w:r>
      <w:r w:rsidR="00107879" w:rsidRPr="00D6665E">
        <w:rPr>
          <w:rFonts w:ascii="Times New Roman" w:hAnsi="Times New Roman" w:cs="Times New Roman"/>
          <w:sz w:val="24"/>
          <w:szCs w:val="24"/>
        </w:rPr>
        <w:t>: apoyo en 29 eventos, apoyo con pauta en pantallas de aeropuertos, apoyo en eventos con presencia de marca ciudad, recorridos turísticos, 60 mil piezas entregadas de material promocional, ejemplo de impacto (16 días de pauta digital, 12 millones de impresiones, 28mil clicks)</w:t>
      </w:r>
    </w:p>
    <w:p w:rsidR="00107879" w:rsidRPr="00D6665E" w:rsidRDefault="00107879" w:rsidP="00107879">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Fam y press trip: 12 periodistas, 8 notas en periódicos, 1 programa en televisión internacional.</w:t>
      </w:r>
    </w:p>
    <w:p w:rsidR="00107879" w:rsidRPr="00D6665E" w:rsidRDefault="00107879" w:rsidP="00107879">
      <w:pPr>
        <w:pStyle w:val="Prrafodelista"/>
        <w:ind w:left="1080"/>
        <w:jc w:val="both"/>
        <w:rPr>
          <w:rFonts w:ascii="Times New Roman" w:hAnsi="Times New Roman" w:cs="Times New Roman"/>
          <w:sz w:val="24"/>
          <w:szCs w:val="24"/>
        </w:rPr>
      </w:pPr>
    </w:p>
    <w:p w:rsidR="00107879" w:rsidRPr="00D6665E" w:rsidRDefault="00107879" w:rsidP="00107879">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Promoción destino turístico en ferias y workshops</w:t>
      </w:r>
      <w:r w:rsidR="00EB059A" w:rsidRPr="00D6665E">
        <w:rPr>
          <w:rFonts w:ascii="Times New Roman" w:hAnsi="Times New Roman" w:cs="Times New Roman"/>
          <w:sz w:val="24"/>
          <w:szCs w:val="24"/>
        </w:rPr>
        <w:t>:</w:t>
      </w:r>
    </w:p>
    <w:p w:rsidR="00107879" w:rsidRPr="00D6665E" w:rsidRDefault="00EB059A" w:rsidP="00107879">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Workshops: 38 cifras de negocios, Estados Unidos y España 290 empresarios capacitados.</w:t>
      </w:r>
    </w:p>
    <w:p w:rsidR="00EB059A" w:rsidRPr="00D6665E" w:rsidRDefault="00EB059A" w:rsidP="00EB059A">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Ferias internacionales: vitrina ANATO FITUR, 162.000 impactos potenciales entre profesionales y visitantes.</w:t>
      </w:r>
    </w:p>
    <w:p w:rsidR="00EB059A" w:rsidRPr="00D6665E" w:rsidRDefault="00EB059A" w:rsidP="00EB059A">
      <w:pPr>
        <w:pStyle w:val="Prrafodelista"/>
        <w:ind w:left="1080"/>
        <w:jc w:val="both"/>
        <w:rPr>
          <w:rFonts w:ascii="Times New Roman" w:hAnsi="Times New Roman" w:cs="Times New Roman"/>
          <w:sz w:val="24"/>
          <w:szCs w:val="24"/>
        </w:rPr>
      </w:pPr>
    </w:p>
    <w:p w:rsidR="00EB059A" w:rsidRPr="00D6665E" w:rsidRDefault="00EB059A" w:rsidP="00EB059A">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Red de información turística:</w:t>
      </w:r>
    </w:p>
    <w:p w:rsidR="00B43B7F" w:rsidRPr="00D6665E" w:rsidRDefault="00EB059A" w:rsidP="00B43B7F">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9 puntos de atención turística en Bogotá</w:t>
      </w:r>
    </w:p>
    <w:p w:rsidR="00EB059A" w:rsidRPr="00D6665E" w:rsidRDefault="00EB059A" w:rsidP="00EB059A">
      <w:pPr>
        <w:pStyle w:val="Prrafodelista"/>
        <w:ind w:left="1080"/>
        <w:jc w:val="both"/>
        <w:rPr>
          <w:rFonts w:ascii="Times New Roman" w:hAnsi="Times New Roman" w:cs="Times New Roman"/>
          <w:sz w:val="24"/>
          <w:szCs w:val="24"/>
        </w:rPr>
      </w:pPr>
      <w:r w:rsidRPr="00D6665E">
        <w:rPr>
          <w:rFonts w:ascii="Times New Roman" w:hAnsi="Times New Roman" w:cs="Times New Roman"/>
          <w:noProof/>
          <w:sz w:val="24"/>
          <w:szCs w:val="24"/>
          <w:lang w:val="es-ES" w:eastAsia="es-ES"/>
        </w:rPr>
        <w:drawing>
          <wp:anchor distT="0" distB="0" distL="114300" distR="114300" simplePos="0" relativeHeight="251658240" behindDoc="1" locked="0" layoutInCell="1" allowOverlap="1">
            <wp:simplePos x="0" y="0"/>
            <wp:positionH relativeFrom="column">
              <wp:posOffset>1503680</wp:posOffset>
            </wp:positionH>
            <wp:positionV relativeFrom="paragraph">
              <wp:posOffset>99060</wp:posOffset>
            </wp:positionV>
            <wp:extent cx="2700020" cy="1748790"/>
            <wp:effectExtent l="0" t="0" r="5080" b="3810"/>
            <wp:wrapTight wrapText="bothSides">
              <wp:wrapPolygon edited="0">
                <wp:start x="762" y="0"/>
                <wp:lineTo x="0" y="1412"/>
                <wp:lineTo x="0" y="3529"/>
                <wp:lineTo x="152" y="4706"/>
                <wp:lineTo x="762" y="7529"/>
                <wp:lineTo x="152" y="8471"/>
                <wp:lineTo x="2134" y="11294"/>
                <wp:lineTo x="2134" y="12000"/>
                <wp:lineTo x="3505" y="15059"/>
                <wp:lineTo x="3810" y="16471"/>
                <wp:lineTo x="7925" y="18824"/>
                <wp:lineTo x="10363" y="18824"/>
                <wp:lineTo x="10211" y="20471"/>
                <wp:lineTo x="10363" y="21412"/>
                <wp:lineTo x="10973" y="21412"/>
                <wp:lineTo x="13563" y="21412"/>
                <wp:lineTo x="13716" y="21412"/>
                <wp:lineTo x="14325" y="18824"/>
                <wp:lineTo x="15392" y="18824"/>
                <wp:lineTo x="18593" y="16000"/>
                <wp:lineTo x="18897" y="15059"/>
                <wp:lineTo x="21488" y="11765"/>
                <wp:lineTo x="21488" y="7529"/>
                <wp:lineTo x="18745" y="7529"/>
                <wp:lineTo x="14478" y="4706"/>
                <wp:lineTo x="12802" y="3765"/>
                <wp:lineTo x="13563" y="3059"/>
                <wp:lineTo x="12344" y="2353"/>
                <wp:lineTo x="4267" y="0"/>
                <wp:lineTo x="762"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020" cy="1748790"/>
                    </a:xfrm>
                    <a:prstGeom prst="rect">
                      <a:avLst/>
                    </a:prstGeom>
                    <a:noFill/>
                  </pic:spPr>
                </pic:pic>
              </a:graphicData>
            </a:graphic>
          </wp:anchor>
        </w:drawing>
      </w:r>
    </w:p>
    <w:p w:rsidR="00EB059A" w:rsidRPr="00D6665E" w:rsidRDefault="00EB059A" w:rsidP="00EB059A">
      <w:pPr>
        <w:pStyle w:val="Prrafodelista"/>
        <w:ind w:left="1080"/>
        <w:jc w:val="both"/>
        <w:rPr>
          <w:rFonts w:ascii="Times New Roman" w:hAnsi="Times New Roman" w:cs="Times New Roman"/>
          <w:sz w:val="24"/>
          <w:szCs w:val="24"/>
        </w:rPr>
      </w:pPr>
    </w:p>
    <w:p w:rsidR="00EB059A" w:rsidRPr="00D6665E" w:rsidRDefault="00EB059A" w:rsidP="00EB059A">
      <w:pPr>
        <w:pStyle w:val="Prrafodelista"/>
        <w:ind w:left="1080"/>
        <w:jc w:val="both"/>
        <w:rPr>
          <w:rFonts w:ascii="Times New Roman" w:hAnsi="Times New Roman" w:cs="Times New Roman"/>
          <w:sz w:val="24"/>
          <w:szCs w:val="24"/>
        </w:rPr>
      </w:pPr>
    </w:p>
    <w:p w:rsidR="00EB059A" w:rsidRPr="00D6665E" w:rsidRDefault="00EB059A" w:rsidP="00EB059A">
      <w:pPr>
        <w:pStyle w:val="Prrafodelista"/>
        <w:ind w:left="1080"/>
        <w:jc w:val="both"/>
        <w:rPr>
          <w:rFonts w:ascii="Times New Roman" w:hAnsi="Times New Roman" w:cs="Times New Roman"/>
          <w:sz w:val="24"/>
          <w:szCs w:val="24"/>
        </w:rPr>
      </w:pPr>
    </w:p>
    <w:p w:rsidR="008D1350" w:rsidRPr="00D6665E" w:rsidRDefault="008D1350" w:rsidP="008D1350">
      <w:pPr>
        <w:jc w:val="both"/>
        <w:rPr>
          <w:rFonts w:ascii="Times New Roman" w:hAnsi="Times New Roman" w:cs="Times New Roman"/>
          <w:sz w:val="24"/>
          <w:szCs w:val="24"/>
        </w:rPr>
      </w:pPr>
    </w:p>
    <w:p w:rsidR="00EB059A" w:rsidRPr="00D6665E" w:rsidRDefault="00EB059A" w:rsidP="008D1350">
      <w:pPr>
        <w:jc w:val="both"/>
        <w:rPr>
          <w:rFonts w:ascii="Times New Roman" w:hAnsi="Times New Roman" w:cs="Times New Roman"/>
          <w:sz w:val="24"/>
          <w:szCs w:val="24"/>
        </w:rPr>
      </w:pPr>
    </w:p>
    <w:p w:rsidR="008418A4" w:rsidRPr="00D6665E" w:rsidRDefault="008418A4" w:rsidP="008D1350">
      <w:pPr>
        <w:jc w:val="both"/>
        <w:rPr>
          <w:rFonts w:ascii="Times New Roman" w:hAnsi="Times New Roman" w:cs="Times New Roman"/>
          <w:sz w:val="24"/>
          <w:szCs w:val="24"/>
        </w:rPr>
      </w:pPr>
    </w:p>
    <w:p w:rsidR="008418A4" w:rsidRPr="00D6665E" w:rsidRDefault="008418A4" w:rsidP="008D1350">
      <w:pPr>
        <w:jc w:val="both"/>
        <w:rPr>
          <w:rFonts w:ascii="Times New Roman" w:hAnsi="Times New Roman" w:cs="Times New Roman"/>
          <w:sz w:val="24"/>
          <w:szCs w:val="24"/>
        </w:rPr>
      </w:pPr>
    </w:p>
    <w:p w:rsidR="008418A4" w:rsidRPr="00D6665E" w:rsidRDefault="008418A4" w:rsidP="008418A4">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Recorridos turísticos peatonales, 5 mil personas atendidas en el Centro Histórico de la ciudad y 119 mil usuarios atendidos (53% extranjeros) a través de informadores bilingües.</w:t>
      </w:r>
    </w:p>
    <w:p w:rsidR="00533BF4" w:rsidRPr="00D6665E" w:rsidRDefault="00533BF4" w:rsidP="00533BF4">
      <w:pPr>
        <w:pStyle w:val="Prrafodelista"/>
        <w:ind w:left="1080"/>
        <w:jc w:val="both"/>
        <w:rPr>
          <w:rFonts w:ascii="Times New Roman" w:hAnsi="Times New Roman" w:cs="Times New Roman"/>
          <w:sz w:val="24"/>
          <w:szCs w:val="24"/>
        </w:rPr>
      </w:pPr>
    </w:p>
    <w:p w:rsidR="008418A4" w:rsidRPr="00D6665E" w:rsidRDefault="008418A4" w:rsidP="008418A4">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Otras acciones de promoción:</w:t>
      </w:r>
    </w:p>
    <w:p w:rsidR="00130CB9" w:rsidRPr="00D6665E" w:rsidRDefault="00130CB9" w:rsidP="008418A4">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Logros Red de Información Turística 2016: promoción Bogotá y fin de semana – FINDE con 3 campañas promocionales. Fam y Press Trips con 14 periodistas, 10 influenciadores y blogueros, 9 notas (nacional / internacional).</w:t>
      </w:r>
    </w:p>
    <w:p w:rsidR="00130CB9" w:rsidRPr="00D6665E" w:rsidRDefault="00130CB9" w:rsidP="008418A4">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Acercamiento al turista: recorrido temático de Bogotá en APP de turismo (La Leyenda del Dorado).</w:t>
      </w:r>
    </w:p>
    <w:p w:rsidR="00130CB9" w:rsidRPr="00D6665E" w:rsidRDefault="00130CB9" w:rsidP="00130CB9">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Ingreso a la Federación Mundial de Ciudades Turísticas China &amp; Red de Turismo Urbano de la OMT</w:t>
      </w:r>
    </w:p>
    <w:p w:rsidR="008418A4" w:rsidRPr="00D6665E" w:rsidRDefault="00130CB9" w:rsidP="008418A4">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 xml:space="preserve">Apoyo inicio de operación aerolíneas:  Air Europa, Turkish Airlines </w:t>
      </w:r>
    </w:p>
    <w:p w:rsidR="004E3825" w:rsidRPr="00D6665E" w:rsidRDefault="004E3825" w:rsidP="004E3825">
      <w:pPr>
        <w:jc w:val="both"/>
        <w:rPr>
          <w:rFonts w:ascii="Times New Roman" w:hAnsi="Times New Roman" w:cs="Times New Roman"/>
          <w:sz w:val="24"/>
          <w:szCs w:val="24"/>
        </w:rPr>
      </w:pPr>
    </w:p>
    <w:p w:rsidR="004E3825" w:rsidRPr="00D6665E" w:rsidRDefault="004E3825" w:rsidP="004E3825">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Comunicaciones, posicionamiento institucional y registro en medios:</w:t>
      </w:r>
    </w:p>
    <w:p w:rsidR="004E3825" w:rsidRPr="00D6665E" w:rsidRDefault="004E3825" w:rsidP="004E3825">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Impacto mediático: 269 publicaciones en radio, prensa y televisión. $1.320 millones de pesos representados en Free Press.</w:t>
      </w:r>
    </w:p>
    <w:p w:rsidR="004E3825" w:rsidRPr="00D6665E" w:rsidRDefault="004E3825" w:rsidP="004E3825">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Campañas: #EnTuCumpleBogotá; #VisitaBogotá; #BogotáMásCerca; #BogotáDeVacaciones; #PassPortDay.</w:t>
      </w:r>
    </w:p>
    <w:p w:rsidR="00DD1B8B" w:rsidRPr="00D6665E" w:rsidRDefault="004E3825" w:rsidP="004E3825">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 xml:space="preserve">Comunicación interna 2016: revista digital InformaT. 148 notas internas, 120 galerías fotográficas, </w:t>
      </w:r>
      <w:r w:rsidR="00DD1B8B" w:rsidRPr="00D6665E">
        <w:rPr>
          <w:rFonts w:ascii="Times New Roman" w:hAnsi="Times New Roman" w:cs="Times New Roman"/>
          <w:sz w:val="24"/>
          <w:szCs w:val="24"/>
        </w:rPr>
        <w:t>36 carteleras físicas, 24 cubrimientos a eventos internos, 24 wallpapers, 448.226 visitas en la página web.</w:t>
      </w:r>
    </w:p>
    <w:p w:rsidR="004E3825" w:rsidRPr="00D6665E" w:rsidRDefault="00DD1B8B" w:rsidP="004E3825">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lastRenderedPageBreak/>
        <w:t>Comunicación externa: 120 comunicados de prensa, 132 cubrimientos, 120 ayudas de memoria, 36 audios, 24 entrevistas, 43 acompañamientos a eventos, 44 registros fotográficos.</w:t>
      </w:r>
      <w:r w:rsidR="004E3825" w:rsidRPr="00D6665E">
        <w:rPr>
          <w:rFonts w:ascii="Times New Roman" w:hAnsi="Times New Roman" w:cs="Times New Roman"/>
          <w:sz w:val="24"/>
          <w:szCs w:val="24"/>
        </w:rPr>
        <w:tab/>
        <w:t xml:space="preserve"> </w:t>
      </w:r>
    </w:p>
    <w:p w:rsidR="004E3825" w:rsidRPr="00D6665E" w:rsidRDefault="00DD1B8B" w:rsidP="004E3825">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Impacto en redes 2016: Twitter ganó 2.087 seguidores, Facebook ganó 536 seguidores.</w:t>
      </w:r>
    </w:p>
    <w:p w:rsidR="008B15CD" w:rsidRPr="00D6665E" w:rsidRDefault="00DD78BD" w:rsidP="008B15CD">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Comunicaciones: 448 mil visitas en la página web enero – octubre 2016 (</w:t>
      </w:r>
      <w:hyperlink r:id="rId9" w:history="1">
        <w:r w:rsidRPr="00D6665E">
          <w:rPr>
            <w:rStyle w:val="Hipervnculo"/>
            <w:rFonts w:ascii="Times New Roman" w:hAnsi="Times New Roman" w:cs="Times New Roman"/>
            <w:sz w:val="24"/>
            <w:szCs w:val="24"/>
          </w:rPr>
          <w:t>www.bogotaturismo.gov.co</w:t>
        </w:r>
      </w:hyperlink>
      <w:r w:rsidRPr="00D6665E">
        <w:rPr>
          <w:rFonts w:ascii="Times New Roman" w:hAnsi="Times New Roman" w:cs="Times New Roman"/>
          <w:sz w:val="24"/>
          <w:szCs w:val="24"/>
        </w:rPr>
        <w:t>). Free Press equivalente a $1.280 millones de pesos. 60 publicaciones en tv y radio. 200 publicaciones en</w:t>
      </w:r>
      <w:r w:rsidR="008B15CD" w:rsidRPr="00D6665E">
        <w:rPr>
          <w:rFonts w:ascii="Times New Roman" w:hAnsi="Times New Roman" w:cs="Times New Roman"/>
          <w:sz w:val="24"/>
          <w:szCs w:val="24"/>
        </w:rPr>
        <w:t xml:space="preserve"> medios. Reportajes especiales en las principales revistas y periódicos del país.</w:t>
      </w:r>
    </w:p>
    <w:p w:rsidR="00533BF4" w:rsidRPr="00D6665E" w:rsidRDefault="00533BF4" w:rsidP="00533BF4">
      <w:pPr>
        <w:pStyle w:val="Prrafodelista"/>
        <w:ind w:left="1080"/>
        <w:jc w:val="both"/>
        <w:rPr>
          <w:rFonts w:ascii="Times New Roman" w:hAnsi="Times New Roman" w:cs="Times New Roman"/>
          <w:sz w:val="24"/>
          <w:szCs w:val="24"/>
        </w:rPr>
      </w:pPr>
    </w:p>
    <w:p w:rsidR="00DD78BD" w:rsidRPr="00D6665E" w:rsidRDefault="008B15CD" w:rsidP="0084184F">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Observatorio de turismo, información del sector turismo de la ciudad:</w:t>
      </w:r>
    </w:p>
    <w:p w:rsidR="008B15CD" w:rsidRPr="00D6665E" w:rsidRDefault="008B15CD" w:rsidP="0084184F">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Logros 2016: encuesta a viajeros (medición de turistas en el aeropuerto y terminal de transportes); medición en grandes eventos de la ciudad (Festival Rock al Parque, Alimentarte Food Festival, Festival de Música Sacra de Bogotá); aporte de información oficial de turismo en la ciudad.</w:t>
      </w:r>
    </w:p>
    <w:p w:rsidR="00521036" w:rsidRPr="00D6665E" w:rsidRDefault="00521036" w:rsidP="0084184F">
      <w:pPr>
        <w:pStyle w:val="Prrafodelista"/>
        <w:numPr>
          <w:ilvl w:val="0"/>
          <w:numId w:val="15"/>
        </w:numPr>
        <w:jc w:val="both"/>
        <w:rPr>
          <w:rFonts w:ascii="Times New Roman" w:hAnsi="Times New Roman" w:cs="Times New Roman"/>
          <w:sz w:val="24"/>
          <w:szCs w:val="24"/>
        </w:rPr>
      </w:pPr>
      <w:r w:rsidRPr="00D6665E">
        <w:rPr>
          <w:rFonts w:ascii="Times New Roman" w:hAnsi="Times New Roman" w:cs="Times New Roman"/>
          <w:sz w:val="24"/>
          <w:szCs w:val="24"/>
        </w:rPr>
        <w:t>Censo de establecimientos (alojamiento y hospedaje); identificación de productos turísticos de Bogotá (agencias de viaje); proyecto piloto para el fortalecimiento tecnológico en establecimientos de gastronomía (PROBOGOTÁ y Ishop); alianzas público – privadas para compartir y generar nueva información.</w:t>
      </w:r>
    </w:p>
    <w:p w:rsidR="00521036" w:rsidRPr="00D6665E" w:rsidRDefault="00521036" w:rsidP="0084184F">
      <w:pPr>
        <w:pStyle w:val="Prrafodelista"/>
        <w:ind w:left="1080"/>
        <w:jc w:val="both"/>
        <w:rPr>
          <w:rFonts w:ascii="Times New Roman" w:hAnsi="Times New Roman" w:cs="Times New Roman"/>
          <w:sz w:val="24"/>
          <w:szCs w:val="24"/>
        </w:rPr>
      </w:pPr>
    </w:p>
    <w:p w:rsidR="008B15CD" w:rsidRPr="00D6665E" w:rsidRDefault="00521036" w:rsidP="0084184F">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Producto turístico</w:t>
      </w:r>
      <w:r w:rsidR="00746D01" w:rsidRPr="00D6665E">
        <w:rPr>
          <w:rFonts w:ascii="Times New Roman" w:hAnsi="Times New Roman" w:cs="Times New Roman"/>
          <w:sz w:val="24"/>
          <w:szCs w:val="24"/>
        </w:rPr>
        <w:t>:</w:t>
      </w:r>
      <w:r w:rsidRPr="00D6665E">
        <w:rPr>
          <w:rFonts w:ascii="Times New Roman" w:hAnsi="Times New Roman" w:cs="Times New Roman"/>
          <w:sz w:val="24"/>
          <w:szCs w:val="24"/>
        </w:rPr>
        <w:t xml:space="preserve"> “Navidad más cerca de las estrellas” </w:t>
      </w:r>
    </w:p>
    <w:p w:rsidR="00261E90" w:rsidRPr="00D6665E" w:rsidRDefault="00261E90" w:rsidP="00261E90">
      <w:pPr>
        <w:pStyle w:val="Prrafodelista"/>
        <w:jc w:val="both"/>
        <w:rPr>
          <w:rFonts w:ascii="Times New Roman" w:hAnsi="Times New Roman" w:cs="Times New Roman"/>
          <w:sz w:val="24"/>
          <w:szCs w:val="24"/>
        </w:rPr>
      </w:pPr>
    </w:p>
    <w:p w:rsidR="00E57483" w:rsidRPr="00D6665E" w:rsidRDefault="00E57483" w:rsidP="00E57483">
      <w:pPr>
        <w:pStyle w:val="Prrafodelista"/>
        <w:numPr>
          <w:ilvl w:val="1"/>
          <w:numId w:val="3"/>
        </w:numPr>
        <w:jc w:val="both"/>
        <w:rPr>
          <w:rFonts w:ascii="Times New Roman" w:hAnsi="Times New Roman" w:cs="Times New Roman"/>
          <w:b/>
          <w:sz w:val="24"/>
          <w:szCs w:val="24"/>
        </w:rPr>
      </w:pPr>
      <w:r w:rsidRPr="00D6665E">
        <w:rPr>
          <w:rFonts w:ascii="Times New Roman" w:hAnsi="Times New Roman" w:cs="Times New Roman"/>
          <w:b/>
          <w:sz w:val="24"/>
          <w:szCs w:val="24"/>
        </w:rPr>
        <w:t>Cumplimento de metas</w:t>
      </w:r>
    </w:p>
    <w:p w:rsidR="00261E90" w:rsidRPr="00D6665E" w:rsidRDefault="00261E90" w:rsidP="00261E90">
      <w:pPr>
        <w:pStyle w:val="Prrafodelista"/>
        <w:jc w:val="both"/>
        <w:rPr>
          <w:rFonts w:ascii="Times New Roman" w:hAnsi="Times New Roman" w:cs="Times New Roman"/>
          <w:b/>
          <w:sz w:val="24"/>
          <w:szCs w:val="24"/>
        </w:rPr>
      </w:pPr>
    </w:p>
    <w:p w:rsidR="00261E90" w:rsidRPr="00D6665E" w:rsidRDefault="00261E90" w:rsidP="00261E90">
      <w:pPr>
        <w:jc w:val="both"/>
        <w:rPr>
          <w:rFonts w:ascii="Times New Roman" w:hAnsi="Times New Roman" w:cs="Times New Roman"/>
          <w:sz w:val="24"/>
          <w:szCs w:val="24"/>
        </w:rPr>
      </w:pPr>
      <w:r w:rsidRPr="00D6665E">
        <w:rPr>
          <w:rFonts w:ascii="Times New Roman" w:hAnsi="Times New Roman" w:cs="Times New Roman"/>
          <w:sz w:val="24"/>
          <w:szCs w:val="24"/>
        </w:rPr>
        <w:t>En el marco del cumplimiento de metas del Instituto, durante la vigencia 2016, se destacaron:</w:t>
      </w:r>
    </w:p>
    <w:tbl>
      <w:tblPr>
        <w:tblW w:w="8946" w:type="dxa"/>
        <w:tblInd w:w="55" w:type="dxa"/>
        <w:tblCellMar>
          <w:left w:w="70" w:type="dxa"/>
          <w:right w:w="70" w:type="dxa"/>
        </w:tblCellMar>
        <w:tblLook w:val="04A0"/>
      </w:tblPr>
      <w:tblGrid>
        <w:gridCol w:w="2283"/>
        <w:gridCol w:w="1985"/>
        <w:gridCol w:w="2410"/>
        <w:gridCol w:w="2268"/>
      </w:tblGrid>
      <w:tr w:rsidR="0024335E" w:rsidRPr="00D6665E" w:rsidTr="00D6665E">
        <w:trPr>
          <w:cantSplit/>
          <w:trHeight w:val="300"/>
          <w:tblHeader/>
        </w:trPr>
        <w:tc>
          <w:tcPr>
            <w:tcW w:w="8946" w:type="dxa"/>
            <w:gridSpan w:val="4"/>
            <w:tcBorders>
              <w:top w:val="single" w:sz="8" w:space="0" w:color="auto"/>
              <w:left w:val="single" w:sz="8" w:space="0" w:color="auto"/>
              <w:bottom w:val="single" w:sz="4" w:space="0" w:color="auto"/>
              <w:right w:val="single" w:sz="8" w:space="0" w:color="000000"/>
            </w:tcBorders>
            <w:shd w:val="clear" w:color="000000" w:fill="DCE6F1"/>
            <w:noWrap/>
            <w:vAlign w:val="center"/>
            <w:hideMark/>
          </w:tcPr>
          <w:p w:rsidR="0024335E" w:rsidRPr="00D6665E" w:rsidRDefault="0024335E" w:rsidP="0024335E">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Metas Plan de Desarrollo</w:t>
            </w:r>
          </w:p>
        </w:tc>
      </w:tr>
      <w:tr w:rsidR="0024335E" w:rsidRPr="00D6665E" w:rsidTr="00D6665E">
        <w:trPr>
          <w:cantSplit/>
          <w:trHeight w:val="207"/>
          <w:tblHeader/>
        </w:trPr>
        <w:tc>
          <w:tcPr>
            <w:tcW w:w="2283" w:type="dxa"/>
            <w:tcBorders>
              <w:top w:val="nil"/>
              <w:left w:val="single" w:sz="8" w:space="0" w:color="auto"/>
              <w:bottom w:val="single" w:sz="8" w:space="0" w:color="auto"/>
              <w:right w:val="single" w:sz="4" w:space="0" w:color="auto"/>
            </w:tcBorders>
            <w:shd w:val="clear" w:color="000000" w:fill="DCE6F1"/>
            <w:noWrap/>
            <w:vAlign w:val="bottom"/>
            <w:hideMark/>
          </w:tcPr>
          <w:p w:rsidR="0024335E" w:rsidRPr="00D6665E" w:rsidRDefault="0024335E" w:rsidP="0024335E">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Meta 2016 - 2020</w:t>
            </w:r>
          </w:p>
        </w:tc>
        <w:tc>
          <w:tcPr>
            <w:tcW w:w="1985" w:type="dxa"/>
            <w:tcBorders>
              <w:top w:val="nil"/>
              <w:left w:val="nil"/>
              <w:bottom w:val="single" w:sz="8" w:space="0" w:color="auto"/>
              <w:right w:val="single" w:sz="4" w:space="0" w:color="auto"/>
            </w:tcBorders>
            <w:shd w:val="clear" w:color="000000" w:fill="DCE6F1"/>
            <w:noWrap/>
            <w:vAlign w:val="bottom"/>
            <w:hideMark/>
          </w:tcPr>
          <w:p w:rsidR="0024335E" w:rsidRPr="00D6665E" w:rsidRDefault="0024335E" w:rsidP="0024335E">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Meta 2016</w:t>
            </w:r>
          </w:p>
        </w:tc>
        <w:tc>
          <w:tcPr>
            <w:tcW w:w="2410" w:type="dxa"/>
            <w:tcBorders>
              <w:top w:val="nil"/>
              <w:left w:val="nil"/>
              <w:bottom w:val="single" w:sz="8" w:space="0" w:color="auto"/>
              <w:right w:val="single" w:sz="4" w:space="0" w:color="auto"/>
            </w:tcBorders>
            <w:shd w:val="clear" w:color="000000" w:fill="DCE6F1"/>
            <w:noWrap/>
            <w:vAlign w:val="bottom"/>
            <w:hideMark/>
          </w:tcPr>
          <w:p w:rsidR="0024335E" w:rsidRPr="00D6665E" w:rsidRDefault="0024335E" w:rsidP="0024335E">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Proyecto</w:t>
            </w:r>
          </w:p>
        </w:tc>
        <w:tc>
          <w:tcPr>
            <w:tcW w:w="2268" w:type="dxa"/>
            <w:tcBorders>
              <w:top w:val="nil"/>
              <w:left w:val="nil"/>
              <w:bottom w:val="single" w:sz="8" w:space="0" w:color="auto"/>
              <w:right w:val="single" w:sz="8" w:space="0" w:color="auto"/>
            </w:tcBorders>
            <w:shd w:val="clear" w:color="000000" w:fill="DCE6F1"/>
            <w:noWrap/>
            <w:vAlign w:val="bottom"/>
            <w:hideMark/>
          </w:tcPr>
          <w:p w:rsidR="0024335E" w:rsidRPr="00D6665E" w:rsidRDefault="0024335E" w:rsidP="0024335E">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Ejecución*</w:t>
            </w:r>
          </w:p>
        </w:tc>
      </w:tr>
      <w:tr w:rsidR="0024335E" w:rsidRPr="00D6665E" w:rsidTr="0024335E">
        <w:trPr>
          <w:trHeight w:val="1008"/>
        </w:trPr>
        <w:tc>
          <w:tcPr>
            <w:tcW w:w="2283" w:type="dxa"/>
            <w:tcBorders>
              <w:top w:val="nil"/>
              <w:left w:val="single" w:sz="8" w:space="0" w:color="auto"/>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Intervenir 5 atractivos turísticos (entre ellos: centro histórico, Monserrate y cerros orientales).</w:t>
            </w:r>
          </w:p>
        </w:tc>
        <w:tc>
          <w:tcPr>
            <w:tcW w:w="1985"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Intervenir 1 atractivo.</w:t>
            </w:r>
          </w:p>
        </w:tc>
        <w:tc>
          <w:tcPr>
            <w:tcW w:w="2410"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Proyecto 173 - Bogotá recupera sus atractivos para un mejor turismo.</w:t>
            </w:r>
          </w:p>
        </w:tc>
        <w:tc>
          <w:tcPr>
            <w:tcW w:w="2268" w:type="dxa"/>
            <w:tcBorders>
              <w:top w:val="nil"/>
              <w:left w:val="nil"/>
              <w:bottom w:val="single" w:sz="4" w:space="0" w:color="auto"/>
              <w:right w:val="single" w:sz="8"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xml:space="preserve">Intervención de atractivos turísticos de naturaleza en los Cerros Orientales:  </w:t>
            </w:r>
            <w:r w:rsidRPr="00D6665E">
              <w:rPr>
                <w:rFonts w:ascii="Times New Roman" w:eastAsia="Times New Roman" w:hAnsi="Times New Roman" w:cs="Times New Roman"/>
                <w:color w:val="000000"/>
                <w:sz w:val="24"/>
                <w:szCs w:val="24"/>
                <w:lang w:eastAsia="es-CO"/>
              </w:rPr>
              <w:br/>
              <w:t xml:space="preserve">Sendero del río San Francisco - </w:t>
            </w:r>
            <w:r w:rsidR="0084184F" w:rsidRPr="00D6665E">
              <w:rPr>
                <w:rFonts w:ascii="Times New Roman" w:eastAsia="Times New Roman" w:hAnsi="Times New Roman" w:cs="Times New Roman"/>
                <w:color w:val="000000"/>
                <w:sz w:val="24"/>
                <w:szCs w:val="24"/>
                <w:lang w:eastAsia="es-CO"/>
              </w:rPr>
              <w:t>Roosevelt</w:t>
            </w:r>
            <w:r w:rsidRPr="00D6665E">
              <w:rPr>
                <w:rFonts w:ascii="Times New Roman" w:eastAsia="Times New Roman" w:hAnsi="Times New Roman" w:cs="Times New Roman"/>
                <w:color w:val="000000"/>
                <w:sz w:val="24"/>
                <w:szCs w:val="24"/>
                <w:lang w:eastAsia="es-CO"/>
              </w:rPr>
              <w:t xml:space="preserve"> y Quebrada La Vieja.</w:t>
            </w:r>
          </w:p>
        </w:tc>
      </w:tr>
      <w:tr w:rsidR="0024335E" w:rsidRPr="00D6665E" w:rsidTr="0024335E">
        <w:trPr>
          <w:trHeight w:val="1417"/>
        </w:trPr>
        <w:tc>
          <w:tcPr>
            <w:tcW w:w="2283" w:type="dxa"/>
            <w:tcBorders>
              <w:top w:val="nil"/>
              <w:left w:val="single" w:sz="8" w:space="0" w:color="auto"/>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Fortalecer 200  empresas, prestadores de servicios turísticos y complementarios.</w:t>
            </w:r>
          </w:p>
        </w:tc>
        <w:tc>
          <w:tcPr>
            <w:tcW w:w="1985"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Fortalecer 25 empresas</w:t>
            </w:r>
          </w:p>
        </w:tc>
        <w:tc>
          <w:tcPr>
            <w:tcW w:w="2410"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xml:space="preserve">Proyecto 175 -  Fortalecimiento de los productos turísticos y de la cadena de valor del turismo de Bogotá. </w:t>
            </w:r>
          </w:p>
        </w:tc>
        <w:tc>
          <w:tcPr>
            <w:tcW w:w="2268" w:type="dxa"/>
            <w:tcBorders>
              <w:top w:val="nil"/>
              <w:left w:val="nil"/>
              <w:bottom w:val="single" w:sz="4" w:space="0" w:color="auto"/>
              <w:right w:val="single" w:sz="8"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27 Empresas acompañadas en el proceso de implementación</w:t>
            </w:r>
            <w:r w:rsidRPr="00D6665E">
              <w:rPr>
                <w:rFonts w:ascii="Times New Roman" w:eastAsia="Times New Roman" w:hAnsi="Times New Roman" w:cs="Times New Roman"/>
                <w:color w:val="000000"/>
                <w:sz w:val="24"/>
                <w:szCs w:val="24"/>
                <w:lang w:eastAsia="es-CO"/>
              </w:rPr>
              <w:br/>
              <w:t xml:space="preserve">de las normas técnicas sectoriales de sostenibilidad </w:t>
            </w:r>
            <w:r w:rsidRPr="00D6665E">
              <w:rPr>
                <w:rFonts w:ascii="Times New Roman" w:eastAsia="Times New Roman" w:hAnsi="Times New Roman" w:cs="Times New Roman"/>
                <w:color w:val="000000"/>
                <w:sz w:val="24"/>
                <w:szCs w:val="24"/>
                <w:lang w:eastAsia="es-CO"/>
              </w:rPr>
              <w:lastRenderedPageBreak/>
              <w:t xml:space="preserve">(Agencias de </w:t>
            </w:r>
            <w:r w:rsidRPr="00D6665E">
              <w:rPr>
                <w:rFonts w:ascii="Times New Roman" w:eastAsia="Times New Roman" w:hAnsi="Times New Roman" w:cs="Times New Roman"/>
                <w:color w:val="000000"/>
                <w:sz w:val="24"/>
                <w:szCs w:val="24"/>
                <w:lang w:eastAsia="es-CO"/>
              </w:rPr>
              <w:br/>
              <w:t>Viaje, establecimientos de alojamiento y hospedaje)</w:t>
            </w:r>
          </w:p>
        </w:tc>
      </w:tr>
      <w:tr w:rsidR="0024335E" w:rsidRPr="00D6665E" w:rsidTr="0024335E">
        <w:trPr>
          <w:trHeight w:val="1267"/>
        </w:trPr>
        <w:tc>
          <w:tcPr>
            <w:tcW w:w="2283" w:type="dxa"/>
            <w:tcBorders>
              <w:top w:val="nil"/>
              <w:left w:val="single" w:sz="8" w:space="0" w:color="auto"/>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lastRenderedPageBreak/>
              <w:t>Capacitar 10.000 prestadores de servicios turísticos y conexos, en cultura turística</w:t>
            </w:r>
          </w:p>
        </w:tc>
        <w:tc>
          <w:tcPr>
            <w:tcW w:w="1985"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Capacitar 2.000 prestadores de servicios turísticos.</w:t>
            </w:r>
          </w:p>
        </w:tc>
        <w:tc>
          <w:tcPr>
            <w:tcW w:w="2410"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xml:space="preserve">Proyecto 175 -  Fortalecimiento de los productos turísticos y de la cadena de valor del turismo de Bogotá. </w:t>
            </w:r>
          </w:p>
        </w:tc>
        <w:tc>
          <w:tcPr>
            <w:tcW w:w="2268" w:type="dxa"/>
            <w:tcBorders>
              <w:top w:val="nil"/>
              <w:left w:val="nil"/>
              <w:bottom w:val="single" w:sz="4" w:space="0" w:color="auto"/>
              <w:right w:val="single" w:sz="8"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1.997 Prestadores y residentes formados en temas alusivos a turismo, reconocimiento de atractivos y potencial de la capital como destino turístico sostenible y competitivo.</w:t>
            </w:r>
          </w:p>
        </w:tc>
      </w:tr>
      <w:tr w:rsidR="0024335E" w:rsidRPr="00D6665E" w:rsidTr="0024335E">
        <w:trPr>
          <w:trHeight w:val="1129"/>
        </w:trPr>
        <w:tc>
          <w:tcPr>
            <w:tcW w:w="2283" w:type="dxa"/>
            <w:tcBorders>
              <w:top w:val="nil"/>
              <w:left w:val="single" w:sz="8" w:space="0" w:color="auto"/>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Realizar 4 investigaciones del sector turismo de Bogotá.</w:t>
            </w:r>
          </w:p>
        </w:tc>
        <w:tc>
          <w:tcPr>
            <w:tcW w:w="1985"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Realizar 1 estudio de caracterización de oferta y demanda turística</w:t>
            </w:r>
          </w:p>
        </w:tc>
        <w:tc>
          <w:tcPr>
            <w:tcW w:w="2410"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xml:space="preserve">Proyecto 175 -  Fortalecimiento de los productos turísticos y de la cadena de valor del turismo de Bogotá. </w:t>
            </w:r>
          </w:p>
        </w:tc>
        <w:tc>
          <w:tcPr>
            <w:tcW w:w="2268" w:type="dxa"/>
            <w:tcBorders>
              <w:top w:val="nil"/>
              <w:left w:val="nil"/>
              <w:bottom w:val="single" w:sz="4" w:space="0" w:color="auto"/>
              <w:right w:val="single" w:sz="8"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xml:space="preserve">- Metodología del Censo de Alojamiento y  Hospedaje, </w:t>
            </w:r>
            <w:r w:rsidRPr="00D6665E">
              <w:rPr>
                <w:rFonts w:ascii="Times New Roman" w:eastAsia="Times New Roman" w:hAnsi="Times New Roman" w:cs="Times New Roman"/>
                <w:color w:val="000000"/>
                <w:sz w:val="24"/>
                <w:szCs w:val="24"/>
                <w:lang w:eastAsia="es-CO"/>
              </w:rPr>
              <w:br/>
              <w:t>-Levantamiento y procesamiento de  información de 619 establecimientos de</w:t>
            </w:r>
            <w:r w:rsidR="00A55364" w:rsidRPr="00D6665E">
              <w:rPr>
                <w:rFonts w:ascii="Times New Roman" w:eastAsia="Times New Roman" w:hAnsi="Times New Roman" w:cs="Times New Roman"/>
                <w:color w:val="000000"/>
                <w:sz w:val="24"/>
                <w:szCs w:val="24"/>
                <w:lang w:eastAsia="es-CO"/>
              </w:rPr>
              <w:t xml:space="preserve"> alojamiento</w:t>
            </w:r>
          </w:p>
        </w:tc>
      </w:tr>
      <w:tr w:rsidR="0024335E" w:rsidRPr="00D6665E" w:rsidTr="0024335E">
        <w:trPr>
          <w:trHeight w:val="691"/>
        </w:trPr>
        <w:tc>
          <w:tcPr>
            <w:tcW w:w="2283" w:type="dxa"/>
            <w:tcBorders>
              <w:top w:val="nil"/>
              <w:left w:val="single" w:sz="8" w:space="0" w:color="auto"/>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Atender 900.000 personas a través de la red de información turística.</w:t>
            </w:r>
          </w:p>
        </w:tc>
        <w:tc>
          <w:tcPr>
            <w:tcW w:w="1985"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Atender 84.000 usuarios</w:t>
            </w:r>
          </w:p>
        </w:tc>
        <w:tc>
          <w:tcPr>
            <w:tcW w:w="2410"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Proyecto 174 - Fortalecimiento de la red distrital de información turística.</w:t>
            </w:r>
          </w:p>
        </w:tc>
        <w:tc>
          <w:tcPr>
            <w:tcW w:w="2268" w:type="dxa"/>
            <w:tcBorders>
              <w:top w:val="nil"/>
              <w:left w:val="nil"/>
              <w:bottom w:val="single" w:sz="4" w:space="0" w:color="auto"/>
              <w:right w:val="single" w:sz="8"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119 mil usuarios atendidos en relación con la oferta turística de la ciudad.</w:t>
            </w:r>
          </w:p>
        </w:tc>
      </w:tr>
      <w:tr w:rsidR="0024335E" w:rsidRPr="00D6665E" w:rsidTr="0024335E">
        <w:trPr>
          <w:trHeight w:val="2100"/>
        </w:trPr>
        <w:tc>
          <w:tcPr>
            <w:tcW w:w="2283" w:type="dxa"/>
            <w:tcBorders>
              <w:top w:val="nil"/>
              <w:left w:val="single" w:sz="8" w:space="0" w:color="auto"/>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Participar y/o realizar 250 actividades de promoción y posicionamiento turístico.</w:t>
            </w:r>
          </w:p>
        </w:tc>
        <w:tc>
          <w:tcPr>
            <w:tcW w:w="1985"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19 actividades de promoción y posicionamiento turístico</w:t>
            </w:r>
          </w:p>
        </w:tc>
        <w:tc>
          <w:tcPr>
            <w:tcW w:w="2410"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Proyecto 176 - Posicionamiento de Bogotá como destino turístico.</w:t>
            </w:r>
          </w:p>
        </w:tc>
        <w:tc>
          <w:tcPr>
            <w:tcW w:w="2268" w:type="dxa"/>
            <w:tcBorders>
              <w:top w:val="nil"/>
              <w:left w:val="nil"/>
              <w:bottom w:val="single" w:sz="4" w:space="0" w:color="auto"/>
              <w:right w:val="single" w:sz="8"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val="en-US" w:eastAsia="es-CO"/>
              </w:rPr>
            </w:pPr>
            <w:r w:rsidRPr="00D6665E">
              <w:rPr>
                <w:rFonts w:ascii="Times New Roman" w:eastAsia="Times New Roman" w:hAnsi="Times New Roman" w:cs="Times New Roman"/>
                <w:color w:val="000000"/>
                <w:sz w:val="24"/>
                <w:szCs w:val="24"/>
                <w:lang w:eastAsia="es-CO"/>
              </w:rPr>
              <w:t xml:space="preserve">27 actividades desarrolladas para el posicionamiento de Bogotá </w:t>
            </w:r>
            <w:r w:rsidRPr="00D6665E">
              <w:rPr>
                <w:rFonts w:ascii="Times New Roman" w:eastAsia="Times New Roman" w:hAnsi="Times New Roman" w:cs="Times New Roman"/>
                <w:color w:val="000000"/>
                <w:sz w:val="24"/>
                <w:szCs w:val="24"/>
                <w:lang w:eastAsia="es-CO"/>
              </w:rPr>
              <w:br/>
              <w:t>como destino turístico a fin de atraer visitantes nacionales e internacionales.</w:t>
            </w:r>
            <w:r w:rsidRPr="00D6665E">
              <w:rPr>
                <w:rFonts w:ascii="Times New Roman" w:eastAsia="Times New Roman" w:hAnsi="Times New Roman" w:cs="Times New Roman"/>
                <w:color w:val="000000"/>
                <w:sz w:val="24"/>
                <w:szCs w:val="24"/>
                <w:lang w:eastAsia="es-CO"/>
              </w:rPr>
              <w:br/>
            </w:r>
            <w:r w:rsidRPr="00D6665E">
              <w:rPr>
                <w:rFonts w:ascii="Times New Roman" w:eastAsia="Times New Roman" w:hAnsi="Times New Roman" w:cs="Times New Roman"/>
                <w:color w:val="000000"/>
                <w:sz w:val="24"/>
                <w:szCs w:val="24"/>
                <w:lang w:val="en-US" w:eastAsia="es-CO"/>
              </w:rPr>
              <w:t>(Pres trip, showroom, Workshop, Press trip, ferias, congresos, entre otras)</w:t>
            </w:r>
          </w:p>
        </w:tc>
      </w:tr>
      <w:tr w:rsidR="0024335E" w:rsidRPr="00D6665E" w:rsidTr="0024335E">
        <w:trPr>
          <w:trHeight w:val="1143"/>
        </w:trPr>
        <w:tc>
          <w:tcPr>
            <w:tcW w:w="2283" w:type="dxa"/>
            <w:tcBorders>
              <w:top w:val="nil"/>
              <w:left w:val="single" w:sz="8" w:space="0" w:color="auto"/>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lastRenderedPageBreak/>
              <w:t>80% del Sistema Integrado de Gestión Implementado y mantenido.</w:t>
            </w:r>
          </w:p>
        </w:tc>
        <w:tc>
          <w:tcPr>
            <w:tcW w:w="1985"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20% del Sistema Integrado de Gestión implementado.</w:t>
            </w:r>
          </w:p>
        </w:tc>
        <w:tc>
          <w:tcPr>
            <w:tcW w:w="2410" w:type="dxa"/>
            <w:tcBorders>
              <w:top w:val="nil"/>
              <w:left w:val="nil"/>
              <w:bottom w:val="single" w:sz="4" w:space="0" w:color="auto"/>
              <w:right w:val="single" w:sz="4"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Proyecto 185 - Fortalecimiento a la gestión pública efectiva y eficiente.</w:t>
            </w:r>
          </w:p>
        </w:tc>
        <w:tc>
          <w:tcPr>
            <w:tcW w:w="2268" w:type="dxa"/>
            <w:tcBorders>
              <w:top w:val="nil"/>
              <w:left w:val="nil"/>
              <w:bottom w:val="single" w:sz="4" w:space="0" w:color="auto"/>
              <w:right w:val="single" w:sz="8" w:space="0" w:color="auto"/>
            </w:tcBorders>
            <w:shd w:val="clear" w:color="auto" w:fill="auto"/>
            <w:hideMark/>
          </w:tcPr>
          <w:p w:rsidR="0024335E" w:rsidRPr="00D6665E" w:rsidRDefault="0024335E" w:rsidP="00A55364">
            <w:pPr>
              <w:spacing w:after="0" w:line="240" w:lineRule="auto"/>
              <w:jc w:val="both"/>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xml:space="preserve">16% de implementación del SIG, actualizando mapa de </w:t>
            </w:r>
            <w:r w:rsidRPr="00D6665E">
              <w:rPr>
                <w:rFonts w:ascii="Times New Roman" w:eastAsia="Times New Roman" w:hAnsi="Times New Roman" w:cs="Times New Roman"/>
                <w:color w:val="000000"/>
                <w:sz w:val="24"/>
                <w:szCs w:val="24"/>
                <w:lang w:eastAsia="es-CO"/>
              </w:rPr>
              <w:br/>
              <w:t>procesos, plataforma estratégica, mapas de riesgo y programas ambientales</w:t>
            </w:r>
          </w:p>
        </w:tc>
      </w:tr>
      <w:tr w:rsidR="0024335E" w:rsidRPr="00D6665E" w:rsidTr="0024335E">
        <w:trPr>
          <w:trHeight w:val="190"/>
        </w:trPr>
        <w:tc>
          <w:tcPr>
            <w:tcW w:w="8946" w:type="dxa"/>
            <w:gridSpan w:val="4"/>
            <w:tcBorders>
              <w:top w:val="single" w:sz="4" w:space="0" w:color="auto"/>
              <w:left w:val="single" w:sz="8" w:space="0" w:color="auto"/>
              <w:bottom w:val="single" w:sz="8" w:space="0" w:color="auto"/>
              <w:right w:val="single" w:sz="8" w:space="0" w:color="000000"/>
            </w:tcBorders>
            <w:shd w:val="clear" w:color="auto" w:fill="auto"/>
            <w:hideMark/>
          </w:tcPr>
          <w:p w:rsidR="0024335E" w:rsidRPr="00D6665E" w:rsidRDefault="0024335E" w:rsidP="0024335E">
            <w:pPr>
              <w:spacing w:after="0" w:line="240" w:lineRule="auto"/>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Corte 30-Nov-2016</w:t>
            </w:r>
          </w:p>
        </w:tc>
      </w:tr>
    </w:tbl>
    <w:p w:rsidR="0024335E" w:rsidRPr="00D6665E" w:rsidRDefault="0024335E" w:rsidP="00261E90">
      <w:pPr>
        <w:jc w:val="both"/>
        <w:rPr>
          <w:rFonts w:ascii="Times New Roman" w:hAnsi="Times New Roman" w:cs="Times New Roman"/>
          <w:sz w:val="24"/>
          <w:szCs w:val="24"/>
        </w:rPr>
      </w:pPr>
    </w:p>
    <w:p w:rsidR="00261E90" w:rsidRPr="00D6665E" w:rsidRDefault="00261E90" w:rsidP="00261E90">
      <w:pPr>
        <w:pStyle w:val="Prrafodelista"/>
        <w:jc w:val="both"/>
        <w:rPr>
          <w:rFonts w:ascii="Times New Roman" w:hAnsi="Times New Roman" w:cs="Times New Roman"/>
          <w:b/>
          <w:sz w:val="24"/>
          <w:szCs w:val="24"/>
        </w:rPr>
      </w:pPr>
    </w:p>
    <w:p w:rsidR="00261E90" w:rsidRPr="00D6665E" w:rsidRDefault="00261E90" w:rsidP="00261E90">
      <w:pPr>
        <w:pStyle w:val="Prrafodelista"/>
        <w:jc w:val="both"/>
        <w:rPr>
          <w:rFonts w:ascii="Times New Roman" w:hAnsi="Times New Roman" w:cs="Times New Roman"/>
          <w:b/>
          <w:sz w:val="24"/>
          <w:szCs w:val="24"/>
        </w:rPr>
      </w:pPr>
    </w:p>
    <w:p w:rsidR="00A5020D" w:rsidRPr="00D6665E" w:rsidRDefault="00E57483" w:rsidP="00A5020D">
      <w:pPr>
        <w:pStyle w:val="Prrafodelista"/>
        <w:numPr>
          <w:ilvl w:val="1"/>
          <w:numId w:val="3"/>
        </w:numPr>
        <w:jc w:val="both"/>
        <w:rPr>
          <w:rFonts w:ascii="Times New Roman" w:hAnsi="Times New Roman" w:cs="Times New Roman"/>
          <w:b/>
          <w:sz w:val="24"/>
          <w:szCs w:val="24"/>
        </w:rPr>
      </w:pPr>
      <w:r w:rsidRPr="00D6665E">
        <w:rPr>
          <w:rFonts w:ascii="Times New Roman" w:hAnsi="Times New Roman" w:cs="Times New Roman"/>
          <w:b/>
          <w:sz w:val="24"/>
          <w:szCs w:val="24"/>
        </w:rPr>
        <w:t>Ejecución presupuestal</w:t>
      </w:r>
    </w:p>
    <w:p w:rsidR="00A5020D" w:rsidRPr="00D6665E" w:rsidRDefault="00A5020D" w:rsidP="00A5020D">
      <w:pPr>
        <w:ind w:left="360"/>
        <w:jc w:val="both"/>
        <w:rPr>
          <w:rFonts w:ascii="Times New Roman" w:hAnsi="Times New Roman" w:cs="Times New Roman"/>
          <w:sz w:val="24"/>
          <w:szCs w:val="24"/>
        </w:rPr>
      </w:pPr>
      <w:r w:rsidRPr="00D6665E">
        <w:rPr>
          <w:rFonts w:ascii="Times New Roman" w:hAnsi="Times New Roman" w:cs="Times New Roman"/>
          <w:sz w:val="24"/>
          <w:szCs w:val="24"/>
        </w:rPr>
        <w:t>En el marco presupuestal durante la vigencia el Instituto se destacó:</w:t>
      </w:r>
    </w:p>
    <w:tbl>
      <w:tblPr>
        <w:tblW w:w="8946" w:type="dxa"/>
        <w:tblInd w:w="55" w:type="dxa"/>
        <w:tblCellMar>
          <w:left w:w="70" w:type="dxa"/>
          <w:right w:w="70" w:type="dxa"/>
        </w:tblCellMar>
        <w:tblLook w:val="04A0"/>
      </w:tblPr>
      <w:tblGrid>
        <w:gridCol w:w="1433"/>
        <w:gridCol w:w="1394"/>
        <w:gridCol w:w="1394"/>
        <w:gridCol w:w="1843"/>
        <w:gridCol w:w="1418"/>
        <w:gridCol w:w="1701"/>
      </w:tblGrid>
      <w:tr w:rsidR="00536AEC" w:rsidRPr="00D6665E" w:rsidTr="00536AEC">
        <w:trPr>
          <w:trHeight w:val="300"/>
        </w:trPr>
        <w:tc>
          <w:tcPr>
            <w:tcW w:w="8946" w:type="dxa"/>
            <w:gridSpan w:val="6"/>
            <w:tcBorders>
              <w:top w:val="single" w:sz="4" w:space="0" w:color="auto"/>
              <w:left w:val="single" w:sz="4" w:space="0" w:color="auto"/>
              <w:bottom w:val="single" w:sz="4" w:space="0" w:color="auto"/>
              <w:right w:val="single" w:sz="4" w:space="0" w:color="auto"/>
            </w:tcBorders>
            <w:shd w:val="clear" w:color="000000" w:fill="DCE6F1"/>
            <w:noWrap/>
            <w:vAlign w:val="bottom"/>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Ejecución presupuestal</w:t>
            </w:r>
          </w:p>
        </w:tc>
      </w:tr>
      <w:tr w:rsidR="00536AEC" w:rsidRPr="00D6665E" w:rsidTr="00536AEC">
        <w:trPr>
          <w:trHeight w:val="600"/>
        </w:trPr>
        <w:tc>
          <w:tcPr>
            <w:tcW w:w="1433" w:type="dxa"/>
            <w:tcBorders>
              <w:top w:val="nil"/>
              <w:left w:val="single" w:sz="4" w:space="0" w:color="auto"/>
              <w:bottom w:val="single" w:sz="4" w:space="0" w:color="auto"/>
              <w:right w:val="single" w:sz="4" w:space="0" w:color="auto"/>
            </w:tcBorders>
            <w:shd w:val="clear" w:color="000000" w:fill="DCE6F1"/>
            <w:vAlign w:val="center"/>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Presupuesto total asignado</w:t>
            </w:r>
          </w:p>
        </w:tc>
        <w:tc>
          <w:tcPr>
            <w:tcW w:w="1276" w:type="dxa"/>
            <w:tcBorders>
              <w:top w:val="nil"/>
              <w:left w:val="nil"/>
              <w:bottom w:val="single" w:sz="4" w:space="0" w:color="auto"/>
              <w:right w:val="single" w:sz="4" w:space="0" w:color="auto"/>
            </w:tcBorders>
            <w:shd w:val="clear" w:color="000000" w:fill="DCE6F1"/>
            <w:vAlign w:val="center"/>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Presupuesto de inversión</w:t>
            </w:r>
          </w:p>
        </w:tc>
        <w:tc>
          <w:tcPr>
            <w:tcW w:w="1275" w:type="dxa"/>
            <w:tcBorders>
              <w:top w:val="nil"/>
              <w:left w:val="nil"/>
              <w:bottom w:val="single" w:sz="4" w:space="0" w:color="auto"/>
              <w:right w:val="single" w:sz="4" w:space="0" w:color="auto"/>
            </w:tcBorders>
            <w:shd w:val="clear" w:color="000000" w:fill="DCE6F1"/>
            <w:vAlign w:val="center"/>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Presupuesto ejecutado</w:t>
            </w:r>
          </w:p>
        </w:tc>
        <w:tc>
          <w:tcPr>
            <w:tcW w:w="1843" w:type="dxa"/>
            <w:tcBorders>
              <w:top w:val="nil"/>
              <w:left w:val="nil"/>
              <w:bottom w:val="single" w:sz="4" w:space="0" w:color="auto"/>
              <w:right w:val="single" w:sz="4" w:space="0" w:color="auto"/>
            </w:tcBorders>
            <w:shd w:val="clear" w:color="000000" w:fill="DCE6F1"/>
            <w:vAlign w:val="center"/>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Porcentaje de ejecución</w:t>
            </w:r>
            <w:r w:rsidRPr="00D6665E">
              <w:rPr>
                <w:rFonts w:ascii="Times New Roman" w:eastAsia="Times New Roman" w:hAnsi="Times New Roman" w:cs="Times New Roman"/>
                <w:b/>
                <w:bCs/>
                <w:color w:val="000000"/>
                <w:sz w:val="24"/>
                <w:szCs w:val="24"/>
                <w:lang w:eastAsia="es-CO"/>
              </w:rPr>
              <w:br/>
              <w:t>presupuestal*</w:t>
            </w:r>
          </w:p>
        </w:tc>
        <w:tc>
          <w:tcPr>
            <w:tcW w:w="1418" w:type="dxa"/>
            <w:tcBorders>
              <w:top w:val="nil"/>
              <w:left w:val="nil"/>
              <w:bottom w:val="single" w:sz="4" w:space="0" w:color="auto"/>
              <w:right w:val="single" w:sz="4" w:space="0" w:color="auto"/>
            </w:tcBorders>
            <w:shd w:val="clear" w:color="000000" w:fill="DCE6F1"/>
            <w:vAlign w:val="center"/>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Presupuesto gestionado</w:t>
            </w:r>
          </w:p>
        </w:tc>
        <w:tc>
          <w:tcPr>
            <w:tcW w:w="1701" w:type="dxa"/>
            <w:tcBorders>
              <w:top w:val="nil"/>
              <w:left w:val="nil"/>
              <w:bottom w:val="single" w:sz="4" w:space="0" w:color="auto"/>
              <w:right w:val="single" w:sz="4" w:space="0" w:color="auto"/>
            </w:tcBorders>
            <w:shd w:val="clear" w:color="000000" w:fill="DCE6F1"/>
            <w:vAlign w:val="center"/>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Presupuesto vigencia 2017</w:t>
            </w:r>
          </w:p>
        </w:tc>
      </w:tr>
      <w:tr w:rsidR="00536AEC" w:rsidRPr="00D6665E" w:rsidTr="00536AEC">
        <w:trPr>
          <w:trHeight w:val="300"/>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536AEC" w:rsidRPr="00D6665E" w:rsidRDefault="00536AEC" w:rsidP="00536AEC">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$ 14.358 millones</w:t>
            </w:r>
          </w:p>
        </w:tc>
        <w:tc>
          <w:tcPr>
            <w:tcW w:w="1276" w:type="dxa"/>
            <w:tcBorders>
              <w:top w:val="nil"/>
              <w:left w:val="nil"/>
              <w:bottom w:val="single" w:sz="4" w:space="0" w:color="auto"/>
              <w:right w:val="single" w:sz="4" w:space="0" w:color="auto"/>
            </w:tcBorders>
            <w:shd w:val="clear" w:color="auto" w:fill="auto"/>
            <w:noWrap/>
            <w:vAlign w:val="bottom"/>
            <w:hideMark/>
          </w:tcPr>
          <w:p w:rsidR="00536AEC" w:rsidRPr="00D6665E" w:rsidRDefault="00536AEC" w:rsidP="00536AEC">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$ 8.263 millones</w:t>
            </w:r>
          </w:p>
        </w:tc>
        <w:tc>
          <w:tcPr>
            <w:tcW w:w="1275" w:type="dxa"/>
            <w:tcBorders>
              <w:top w:val="nil"/>
              <w:left w:val="nil"/>
              <w:bottom w:val="single" w:sz="4" w:space="0" w:color="auto"/>
              <w:right w:val="single" w:sz="4" w:space="0" w:color="auto"/>
            </w:tcBorders>
            <w:shd w:val="clear" w:color="auto" w:fill="auto"/>
            <w:noWrap/>
            <w:vAlign w:val="bottom"/>
            <w:hideMark/>
          </w:tcPr>
          <w:p w:rsidR="00536AEC" w:rsidRPr="00D6665E" w:rsidRDefault="00536AEC" w:rsidP="00536AEC">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$ 6.997 millones</w:t>
            </w:r>
          </w:p>
        </w:tc>
        <w:tc>
          <w:tcPr>
            <w:tcW w:w="1843" w:type="dxa"/>
            <w:tcBorders>
              <w:top w:val="nil"/>
              <w:left w:val="nil"/>
              <w:bottom w:val="single" w:sz="4" w:space="0" w:color="auto"/>
              <w:right w:val="single" w:sz="4" w:space="0" w:color="auto"/>
            </w:tcBorders>
            <w:shd w:val="clear" w:color="auto" w:fill="auto"/>
            <w:noWrap/>
            <w:vAlign w:val="bottom"/>
            <w:hideMark/>
          </w:tcPr>
          <w:p w:rsidR="00536AEC" w:rsidRPr="00D6665E" w:rsidRDefault="00536AEC" w:rsidP="00536AEC">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85%</w:t>
            </w:r>
          </w:p>
        </w:tc>
        <w:tc>
          <w:tcPr>
            <w:tcW w:w="1418" w:type="dxa"/>
            <w:tcBorders>
              <w:top w:val="nil"/>
              <w:left w:val="nil"/>
              <w:bottom w:val="single" w:sz="4" w:space="0" w:color="auto"/>
              <w:right w:val="single" w:sz="4" w:space="0" w:color="auto"/>
            </w:tcBorders>
            <w:shd w:val="clear" w:color="auto" w:fill="auto"/>
            <w:noWrap/>
            <w:vAlign w:val="bottom"/>
            <w:hideMark/>
          </w:tcPr>
          <w:p w:rsidR="00536AEC" w:rsidRPr="00D6665E" w:rsidRDefault="00536AEC" w:rsidP="00536AEC">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$ 2.000 millones</w:t>
            </w:r>
          </w:p>
        </w:tc>
        <w:tc>
          <w:tcPr>
            <w:tcW w:w="1701" w:type="dxa"/>
            <w:tcBorders>
              <w:top w:val="nil"/>
              <w:left w:val="nil"/>
              <w:bottom w:val="single" w:sz="4" w:space="0" w:color="auto"/>
              <w:right w:val="single" w:sz="4" w:space="0" w:color="auto"/>
            </w:tcBorders>
            <w:shd w:val="clear" w:color="auto" w:fill="auto"/>
            <w:noWrap/>
            <w:vAlign w:val="bottom"/>
            <w:hideMark/>
          </w:tcPr>
          <w:p w:rsidR="00536AEC" w:rsidRPr="00D6665E" w:rsidRDefault="00536AEC" w:rsidP="00536AEC">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$ 18.766 millones</w:t>
            </w:r>
          </w:p>
        </w:tc>
      </w:tr>
      <w:tr w:rsidR="00536AEC" w:rsidRPr="00D6665E" w:rsidTr="00536AEC">
        <w:trPr>
          <w:trHeight w:val="116"/>
        </w:trPr>
        <w:tc>
          <w:tcPr>
            <w:tcW w:w="8946" w:type="dxa"/>
            <w:gridSpan w:val="6"/>
            <w:tcBorders>
              <w:top w:val="single" w:sz="4" w:space="0" w:color="auto"/>
              <w:left w:val="single" w:sz="4" w:space="0" w:color="auto"/>
              <w:bottom w:val="single" w:sz="4" w:space="0" w:color="auto"/>
              <w:right w:val="single" w:sz="4" w:space="0" w:color="000000"/>
            </w:tcBorders>
            <w:shd w:val="clear" w:color="auto" w:fill="auto"/>
            <w:hideMark/>
          </w:tcPr>
          <w:p w:rsidR="00536AEC" w:rsidRPr="00D6665E" w:rsidRDefault="00536AEC" w:rsidP="00536AEC">
            <w:pPr>
              <w:spacing w:after="0" w:line="240" w:lineRule="auto"/>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Ejecución presupuesto de inversión con corte 13 de diciembre de 2016</w:t>
            </w:r>
          </w:p>
        </w:tc>
      </w:tr>
    </w:tbl>
    <w:p w:rsidR="00A5020D" w:rsidRPr="00D6665E" w:rsidRDefault="00A5020D" w:rsidP="00A5020D">
      <w:pPr>
        <w:pStyle w:val="Prrafodelista"/>
        <w:jc w:val="both"/>
        <w:rPr>
          <w:rFonts w:ascii="Times New Roman" w:hAnsi="Times New Roman" w:cs="Times New Roman"/>
          <w:b/>
          <w:sz w:val="24"/>
          <w:szCs w:val="24"/>
        </w:rPr>
      </w:pPr>
    </w:p>
    <w:p w:rsidR="00E57483" w:rsidRPr="00D6665E" w:rsidRDefault="00E57483" w:rsidP="00E57483">
      <w:pPr>
        <w:pStyle w:val="Prrafodelista"/>
        <w:numPr>
          <w:ilvl w:val="1"/>
          <w:numId w:val="3"/>
        </w:numPr>
        <w:jc w:val="both"/>
        <w:rPr>
          <w:rFonts w:ascii="Times New Roman" w:hAnsi="Times New Roman" w:cs="Times New Roman"/>
          <w:b/>
          <w:sz w:val="24"/>
          <w:szCs w:val="24"/>
        </w:rPr>
      </w:pPr>
      <w:r w:rsidRPr="00D6665E">
        <w:rPr>
          <w:rFonts w:ascii="Times New Roman" w:hAnsi="Times New Roman" w:cs="Times New Roman"/>
          <w:b/>
          <w:sz w:val="24"/>
          <w:szCs w:val="24"/>
        </w:rPr>
        <w:t>Información contractual</w:t>
      </w:r>
    </w:p>
    <w:p w:rsidR="00536AEC" w:rsidRPr="00D6665E" w:rsidRDefault="00536AEC" w:rsidP="00536AEC">
      <w:pPr>
        <w:ind w:left="360"/>
        <w:jc w:val="both"/>
        <w:rPr>
          <w:rFonts w:ascii="Times New Roman" w:hAnsi="Times New Roman" w:cs="Times New Roman"/>
          <w:sz w:val="24"/>
          <w:szCs w:val="24"/>
        </w:rPr>
      </w:pPr>
      <w:r w:rsidRPr="00D6665E">
        <w:rPr>
          <w:rFonts w:ascii="Times New Roman" w:hAnsi="Times New Roman" w:cs="Times New Roman"/>
          <w:sz w:val="24"/>
          <w:szCs w:val="24"/>
        </w:rPr>
        <w:t>Durante la vigencia 2016, el Instituto contempló en total 216 contratos por un valor de $7.006.844.577 millones de pesos.</w:t>
      </w:r>
    </w:p>
    <w:tbl>
      <w:tblPr>
        <w:tblW w:w="5340" w:type="dxa"/>
        <w:jc w:val="center"/>
        <w:tblInd w:w="55" w:type="dxa"/>
        <w:tblCellMar>
          <w:left w:w="70" w:type="dxa"/>
          <w:right w:w="70" w:type="dxa"/>
        </w:tblCellMar>
        <w:tblLook w:val="0620"/>
      </w:tblPr>
      <w:tblGrid>
        <w:gridCol w:w="1367"/>
        <w:gridCol w:w="2255"/>
        <w:gridCol w:w="1955"/>
      </w:tblGrid>
      <w:tr w:rsidR="00536AEC" w:rsidRPr="00D6665E" w:rsidTr="00536AEC">
        <w:trPr>
          <w:trHeight w:val="300"/>
          <w:jc w:val="center"/>
        </w:trPr>
        <w:tc>
          <w:tcPr>
            <w:tcW w:w="5340" w:type="dxa"/>
            <w:gridSpan w:val="3"/>
            <w:tcBorders>
              <w:top w:val="single" w:sz="4" w:space="0" w:color="auto"/>
              <w:left w:val="single" w:sz="4" w:space="0" w:color="auto"/>
              <w:bottom w:val="single" w:sz="4" w:space="0" w:color="auto"/>
              <w:right w:val="single" w:sz="4" w:space="0" w:color="auto"/>
            </w:tcBorders>
            <w:shd w:val="clear" w:color="000000" w:fill="DCE6F1"/>
            <w:noWrap/>
            <w:vAlign w:val="bottom"/>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CONTRATACIÓN</w:t>
            </w:r>
          </w:p>
        </w:tc>
      </w:tr>
      <w:tr w:rsidR="00536AEC" w:rsidRPr="00D6665E" w:rsidTr="00536AEC">
        <w:trPr>
          <w:trHeight w:val="300"/>
          <w:jc w:val="center"/>
        </w:trPr>
        <w:tc>
          <w:tcPr>
            <w:tcW w:w="1130" w:type="dxa"/>
            <w:tcBorders>
              <w:top w:val="nil"/>
              <w:left w:val="single" w:sz="4" w:space="0" w:color="auto"/>
              <w:bottom w:val="single" w:sz="4" w:space="0" w:color="auto"/>
              <w:right w:val="single" w:sz="4" w:space="0" w:color="auto"/>
            </w:tcBorders>
            <w:shd w:val="clear" w:color="000000" w:fill="DCE6F1"/>
            <w:noWrap/>
            <w:vAlign w:val="center"/>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VIGENCIA</w:t>
            </w:r>
          </w:p>
        </w:tc>
        <w:tc>
          <w:tcPr>
            <w:tcW w:w="2255" w:type="dxa"/>
            <w:tcBorders>
              <w:top w:val="nil"/>
              <w:left w:val="nil"/>
              <w:bottom w:val="single" w:sz="4" w:space="0" w:color="auto"/>
              <w:right w:val="single" w:sz="4" w:space="0" w:color="auto"/>
            </w:tcBorders>
            <w:shd w:val="clear" w:color="000000" w:fill="DCE6F1"/>
            <w:noWrap/>
            <w:vAlign w:val="center"/>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No. DE CONTRATOS</w:t>
            </w:r>
          </w:p>
        </w:tc>
        <w:tc>
          <w:tcPr>
            <w:tcW w:w="1955" w:type="dxa"/>
            <w:tcBorders>
              <w:top w:val="nil"/>
              <w:left w:val="nil"/>
              <w:bottom w:val="single" w:sz="4" w:space="0" w:color="auto"/>
              <w:right w:val="single" w:sz="4" w:space="0" w:color="auto"/>
            </w:tcBorders>
            <w:shd w:val="clear" w:color="000000" w:fill="DCE6F1"/>
            <w:noWrap/>
            <w:vAlign w:val="center"/>
            <w:hideMark/>
          </w:tcPr>
          <w:p w:rsidR="00536AEC" w:rsidRPr="00D6665E" w:rsidRDefault="00536AEC" w:rsidP="00536AEC">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VALOR EN PESOS</w:t>
            </w:r>
          </w:p>
        </w:tc>
      </w:tr>
      <w:tr w:rsidR="00536AEC" w:rsidRPr="00D6665E" w:rsidTr="00536AEC">
        <w:trPr>
          <w:trHeight w:val="300"/>
          <w:jc w:val="center"/>
        </w:trPr>
        <w:tc>
          <w:tcPr>
            <w:tcW w:w="1130" w:type="dxa"/>
            <w:tcBorders>
              <w:top w:val="nil"/>
              <w:left w:val="single" w:sz="4" w:space="0" w:color="auto"/>
              <w:bottom w:val="single" w:sz="4" w:space="0" w:color="auto"/>
              <w:right w:val="single" w:sz="4" w:space="0" w:color="auto"/>
            </w:tcBorders>
            <w:shd w:val="clear" w:color="auto" w:fill="auto"/>
            <w:noWrap/>
            <w:vAlign w:val="bottom"/>
            <w:hideMark/>
          </w:tcPr>
          <w:p w:rsidR="00536AEC" w:rsidRPr="00D6665E" w:rsidRDefault="00536AEC" w:rsidP="00536AEC">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2016</w:t>
            </w:r>
          </w:p>
        </w:tc>
        <w:tc>
          <w:tcPr>
            <w:tcW w:w="2255" w:type="dxa"/>
            <w:tcBorders>
              <w:top w:val="nil"/>
              <w:left w:val="nil"/>
              <w:bottom w:val="single" w:sz="4" w:space="0" w:color="auto"/>
              <w:right w:val="single" w:sz="4" w:space="0" w:color="auto"/>
            </w:tcBorders>
            <w:shd w:val="clear" w:color="auto" w:fill="auto"/>
            <w:noWrap/>
            <w:vAlign w:val="bottom"/>
            <w:hideMark/>
          </w:tcPr>
          <w:p w:rsidR="00536AEC" w:rsidRPr="00D6665E" w:rsidRDefault="00536AEC" w:rsidP="00536AEC">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216</w:t>
            </w:r>
          </w:p>
        </w:tc>
        <w:tc>
          <w:tcPr>
            <w:tcW w:w="1955" w:type="dxa"/>
            <w:tcBorders>
              <w:top w:val="nil"/>
              <w:left w:val="nil"/>
              <w:bottom w:val="single" w:sz="4" w:space="0" w:color="auto"/>
              <w:right w:val="single" w:sz="4" w:space="0" w:color="auto"/>
            </w:tcBorders>
            <w:shd w:val="clear" w:color="auto" w:fill="auto"/>
            <w:noWrap/>
            <w:vAlign w:val="bottom"/>
            <w:hideMark/>
          </w:tcPr>
          <w:p w:rsidR="00536AEC" w:rsidRPr="00D6665E" w:rsidRDefault="00536AEC" w:rsidP="00536AEC">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 xml:space="preserve">$ 7.006.844.577 </w:t>
            </w:r>
          </w:p>
        </w:tc>
      </w:tr>
    </w:tbl>
    <w:p w:rsidR="00533BF4" w:rsidRPr="00D6665E" w:rsidRDefault="00533BF4" w:rsidP="00533BF4">
      <w:pPr>
        <w:jc w:val="both"/>
        <w:rPr>
          <w:rFonts w:ascii="Times New Roman" w:hAnsi="Times New Roman" w:cs="Times New Roman"/>
          <w:sz w:val="24"/>
          <w:szCs w:val="24"/>
        </w:rPr>
      </w:pPr>
    </w:p>
    <w:p w:rsidR="00E57483" w:rsidRPr="00D6665E" w:rsidRDefault="00E57483" w:rsidP="00E57483">
      <w:pPr>
        <w:pStyle w:val="Prrafodelista"/>
        <w:numPr>
          <w:ilvl w:val="1"/>
          <w:numId w:val="3"/>
        </w:numPr>
        <w:jc w:val="both"/>
        <w:rPr>
          <w:rFonts w:ascii="Times New Roman" w:hAnsi="Times New Roman" w:cs="Times New Roman"/>
          <w:b/>
          <w:sz w:val="24"/>
          <w:szCs w:val="24"/>
        </w:rPr>
      </w:pPr>
      <w:r w:rsidRPr="00D6665E">
        <w:rPr>
          <w:rFonts w:ascii="Times New Roman" w:hAnsi="Times New Roman" w:cs="Times New Roman"/>
          <w:b/>
          <w:sz w:val="24"/>
          <w:szCs w:val="24"/>
        </w:rPr>
        <w:t>Algunos indicadores del sector turismo</w:t>
      </w:r>
    </w:p>
    <w:p w:rsidR="00536AEC" w:rsidRPr="00D6665E" w:rsidRDefault="00536AEC" w:rsidP="00536AEC">
      <w:pPr>
        <w:pStyle w:val="Prrafodelista"/>
        <w:jc w:val="both"/>
        <w:rPr>
          <w:rFonts w:ascii="Times New Roman" w:hAnsi="Times New Roman" w:cs="Times New Roman"/>
          <w:b/>
          <w:sz w:val="24"/>
          <w:szCs w:val="24"/>
        </w:rPr>
      </w:pPr>
    </w:p>
    <w:p w:rsidR="00536AEC" w:rsidRPr="00D6665E" w:rsidRDefault="00536AEC" w:rsidP="00536AEC">
      <w:pPr>
        <w:jc w:val="both"/>
        <w:rPr>
          <w:rFonts w:ascii="Times New Roman" w:hAnsi="Times New Roman" w:cs="Times New Roman"/>
          <w:sz w:val="24"/>
          <w:szCs w:val="24"/>
        </w:rPr>
      </w:pPr>
      <w:r w:rsidRPr="00D6665E">
        <w:rPr>
          <w:rFonts w:ascii="Times New Roman" w:hAnsi="Times New Roman" w:cs="Times New Roman"/>
          <w:sz w:val="24"/>
          <w:szCs w:val="24"/>
        </w:rPr>
        <w:t>Durante la vigencia, se destacaron algunos indicadores en el sector turismo:</w:t>
      </w:r>
    </w:p>
    <w:p w:rsidR="00536AEC" w:rsidRPr="00D6665E" w:rsidRDefault="00536AEC" w:rsidP="00536AEC">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bCs/>
          <w:sz w:val="24"/>
          <w:szCs w:val="24"/>
        </w:rPr>
        <w:t xml:space="preserve">47,5% </w:t>
      </w:r>
      <w:r w:rsidRPr="00D6665E">
        <w:rPr>
          <w:rFonts w:ascii="Times New Roman" w:hAnsi="Times New Roman" w:cs="Times New Roman"/>
          <w:sz w:val="24"/>
          <w:szCs w:val="24"/>
        </w:rPr>
        <w:t>Del turismo extranjero que llega a Colombia visita Bogotá</w:t>
      </w:r>
    </w:p>
    <w:p w:rsidR="00536AEC" w:rsidRPr="00D6665E" w:rsidRDefault="00536AEC" w:rsidP="00536AEC">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bCs/>
          <w:sz w:val="24"/>
          <w:szCs w:val="24"/>
        </w:rPr>
        <w:t>886.027</w:t>
      </w:r>
      <w:r w:rsidRPr="00D6665E">
        <w:rPr>
          <w:rFonts w:ascii="Times New Roman" w:hAnsi="Times New Roman" w:cs="Times New Roman"/>
          <w:sz w:val="24"/>
          <w:szCs w:val="24"/>
        </w:rPr>
        <w:t xml:space="preserve"> viajeros extranjeros visitaron han visitado Bogotá en 2016 (Ene-Sep) *se proyectan alrededor 1.2 millones en todo el año.</w:t>
      </w:r>
    </w:p>
    <w:p w:rsidR="00536AEC" w:rsidRPr="00D6665E" w:rsidRDefault="00536AEC" w:rsidP="00536AEC">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bCs/>
          <w:sz w:val="24"/>
          <w:szCs w:val="24"/>
        </w:rPr>
        <w:lastRenderedPageBreak/>
        <w:t xml:space="preserve">4,2% </w:t>
      </w:r>
      <w:r w:rsidRPr="00D6665E">
        <w:rPr>
          <w:rFonts w:ascii="Times New Roman" w:hAnsi="Times New Roman" w:cs="Times New Roman"/>
          <w:sz w:val="24"/>
          <w:szCs w:val="24"/>
        </w:rPr>
        <w:t>crecimiento del turismo extranjero en Bogotá en 2016 (ene-sep)   *Sin tomar en cuenta la caída del mercado venezolano (-15%) sería de alrededor del 9%</w:t>
      </w:r>
    </w:p>
    <w:p w:rsidR="00536AEC" w:rsidRPr="00D6665E" w:rsidRDefault="00536AEC" w:rsidP="00536AEC">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bCs/>
          <w:sz w:val="24"/>
          <w:szCs w:val="24"/>
        </w:rPr>
        <w:t>1°</w:t>
      </w:r>
      <w:r w:rsidRPr="00D6665E">
        <w:rPr>
          <w:rFonts w:ascii="Times New Roman" w:hAnsi="Times New Roman" w:cs="Times New Roman"/>
          <w:sz w:val="24"/>
          <w:szCs w:val="24"/>
        </w:rPr>
        <w:t xml:space="preserve"> Bogotá es también el principal destino del turismo nacional: 7,3 millones en 2015</w:t>
      </w:r>
    </w:p>
    <w:p w:rsidR="00536AEC" w:rsidRPr="00D6665E" w:rsidRDefault="00536AEC" w:rsidP="00536AEC">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Una de las 20 ciudades de mayor crecimiento turístico en el mundo según  el “Global Destination Cities Index 2016” publicado por Master Card</w:t>
      </w:r>
    </w:p>
    <w:p w:rsidR="005E4C0F" w:rsidRPr="00D6665E" w:rsidRDefault="005E4C0F" w:rsidP="005E4C0F">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bCs/>
          <w:sz w:val="24"/>
          <w:szCs w:val="24"/>
        </w:rPr>
        <w:t xml:space="preserve">74%  </w:t>
      </w:r>
      <w:r w:rsidRPr="00D6665E">
        <w:rPr>
          <w:rFonts w:ascii="Times New Roman" w:hAnsi="Times New Roman" w:cs="Times New Roman"/>
          <w:sz w:val="24"/>
          <w:szCs w:val="24"/>
        </w:rPr>
        <w:t xml:space="preserve">De la conectividad aérea internacional de Colombia. </w:t>
      </w:r>
      <w:r w:rsidRPr="00D6665E">
        <w:rPr>
          <w:rFonts w:ascii="Times New Roman" w:hAnsi="Times New Roman" w:cs="Times New Roman"/>
          <w:bCs/>
          <w:sz w:val="24"/>
          <w:szCs w:val="24"/>
        </w:rPr>
        <w:t>43 rutas directas con 27 países  y 702 frecuencias semanales</w:t>
      </w:r>
    </w:p>
    <w:p w:rsidR="00536AEC" w:rsidRPr="00D6665E" w:rsidRDefault="005E4C0F" w:rsidP="00536AEC">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bCs/>
          <w:sz w:val="24"/>
          <w:szCs w:val="24"/>
        </w:rPr>
        <w:t xml:space="preserve">1.868  </w:t>
      </w:r>
      <w:r w:rsidRPr="00D6665E">
        <w:rPr>
          <w:rFonts w:ascii="Times New Roman" w:hAnsi="Times New Roman" w:cs="Times New Roman"/>
          <w:sz w:val="24"/>
          <w:szCs w:val="24"/>
        </w:rPr>
        <w:t>frecuencias semanales en rutas domésticas. Bogotá es líder también en conectividad doméstica.</w:t>
      </w:r>
    </w:p>
    <w:p w:rsidR="005E4C0F" w:rsidRPr="00D6665E" w:rsidRDefault="005E4C0F" w:rsidP="005E4C0F">
      <w:pPr>
        <w:pStyle w:val="Prrafodelista"/>
        <w:numPr>
          <w:ilvl w:val="0"/>
          <w:numId w:val="18"/>
        </w:numPr>
        <w:rPr>
          <w:rFonts w:ascii="Times New Roman" w:hAnsi="Times New Roman" w:cs="Times New Roman"/>
          <w:bCs/>
          <w:sz w:val="24"/>
          <w:szCs w:val="24"/>
        </w:rPr>
      </w:pPr>
      <w:r w:rsidRPr="00D6665E">
        <w:rPr>
          <w:rFonts w:ascii="Times New Roman" w:hAnsi="Times New Roman" w:cs="Times New Roman"/>
          <w:bCs/>
          <w:sz w:val="24"/>
          <w:szCs w:val="24"/>
        </w:rPr>
        <w:t>Primer puesto como Mejor Aeropuerto de Suramérica según Skytrax</w:t>
      </w:r>
    </w:p>
    <w:p w:rsidR="005E4C0F" w:rsidRPr="00D6665E" w:rsidRDefault="005E4C0F" w:rsidP="005E4C0F">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bCs/>
          <w:sz w:val="24"/>
          <w:szCs w:val="24"/>
        </w:rPr>
        <w:t xml:space="preserve">513 </w:t>
      </w:r>
      <w:r w:rsidRPr="00D6665E">
        <w:rPr>
          <w:rFonts w:ascii="Times New Roman" w:hAnsi="Times New Roman" w:cs="Times New Roman"/>
          <w:sz w:val="24"/>
          <w:szCs w:val="24"/>
        </w:rPr>
        <w:t xml:space="preserve">Atractivos turísticos: 459 culturales, 45 naturales y 23 festividades y     eventos. </w:t>
      </w:r>
    </w:p>
    <w:p w:rsidR="005E4C0F" w:rsidRPr="00D6665E" w:rsidRDefault="005E4C0F" w:rsidP="005E4C0F">
      <w:pPr>
        <w:pStyle w:val="Prrafodelista"/>
        <w:numPr>
          <w:ilvl w:val="0"/>
          <w:numId w:val="18"/>
        </w:numPr>
        <w:rPr>
          <w:rFonts w:ascii="Times New Roman" w:hAnsi="Times New Roman" w:cs="Times New Roman"/>
          <w:sz w:val="24"/>
          <w:szCs w:val="24"/>
        </w:rPr>
      </w:pPr>
      <w:r w:rsidRPr="00D6665E">
        <w:rPr>
          <w:rFonts w:ascii="Times New Roman" w:hAnsi="Times New Roman" w:cs="Times New Roman"/>
          <w:sz w:val="24"/>
          <w:szCs w:val="24"/>
        </w:rPr>
        <w:t>Primer puesto como la mejor oferta hotelera de Colombia con 619 establecimientos de alojamiento y 24 mil habitaciones. Presencia de 42 cadenas hoteleras internacionales</w:t>
      </w:r>
    </w:p>
    <w:p w:rsidR="005E4C0F" w:rsidRPr="00D6665E" w:rsidRDefault="005E4C0F" w:rsidP="005E4C0F">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 xml:space="preserve">Bogotá es el destino más competitivo turísticamente. Según el Índice de Competitividad Turística del Centro de Pensamiento Turístico de Colombia de Cotelco y Unicafam. </w:t>
      </w:r>
    </w:p>
    <w:p w:rsidR="005E4C0F" w:rsidRPr="00D6665E" w:rsidRDefault="005E4C0F" w:rsidP="005E4C0F">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Bogotá es el primer destino de Turismo de Reuniones (MICE) en Colombia 6° en Latinoamérica según ranking (ICCA). Mejor infraestructura para eventos de todo nivel.</w:t>
      </w:r>
    </w:p>
    <w:p w:rsidR="001A5F76" w:rsidRPr="00D6665E" w:rsidRDefault="001A5F76" w:rsidP="005E4C0F">
      <w:pPr>
        <w:pStyle w:val="Prrafodelista"/>
        <w:numPr>
          <w:ilvl w:val="0"/>
          <w:numId w:val="18"/>
        </w:numPr>
        <w:jc w:val="both"/>
        <w:rPr>
          <w:rFonts w:ascii="Times New Roman" w:hAnsi="Times New Roman" w:cs="Times New Roman"/>
          <w:sz w:val="24"/>
          <w:szCs w:val="24"/>
        </w:rPr>
      </w:pPr>
      <w:r w:rsidRPr="00D6665E">
        <w:rPr>
          <w:rFonts w:ascii="Times New Roman" w:hAnsi="Times New Roman" w:cs="Times New Roman"/>
          <w:sz w:val="24"/>
          <w:szCs w:val="24"/>
        </w:rPr>
        <w:t>Viajeros extranjeros no residentes que declararon a Bogotá como destino principal en Colombia:</w:t>
      </w:r>
    </w:p>
    <w:p w:rsidR="001A5F76" w:rsidRPr="00D6665E" w:rsidRDefault="001A5F76" w:rsidP="001A5F76">
      <w:pPr>
        <w:pStyle w:val="Prrafodelista"/>
        <w:jc w:val="both"/>
        <w:rPr>
          <w:rFonts w:ascii="Times New Roman" w:hAnsi="Times New Roman" w:cs="Times New Roman"/>
          <w:sz w:val="24"/>
          <w:szCs w:val="24"/>
        </w:rPr>
      </w:pPr>
    </w:p>
    <w:p w:rsidR="001A5F76" w:rsidRPr="00D6665E" w:rsidRDefault="001A5F76" w:rsidP="001A5F76">
      <w:pPr>
        <w:pStyle w:val="Prrafodelista"/>
        <w:jc w:val="both"/>
        <w:rPr>
          <w:rFonts w:ascii="Times New Roman" w:hAnsi="Times New Roman" w:cs="Times New Roman"/>
          <w:sz w:val="24"/>
          <w:szCs w:val="24"/>
        </w:rPr>
      </w:pPr>
    </w:p>
    <w:p w:rsidR="001A5F76" w:rsidRPr="00D6665E" w:rsidRDefault="001A5F76" w:rsidP="001A5F76">
      <w:pPr>
        <w:pStyle w:val="Prrafodelista"/>
        <w:jc w:val="both"/>
        <w:rPr>
          <w:rFonts w:ascii="Times New Roman" w:hAnsi="Times New Roman" w:cs="Times New Roman"/>
          <w:sz w:val="24"/>
          <w:szCs w:val="24"/>
        </w:rPr>
      </w:pPr>
    </w:p>
    <w:p w:rsidR="001A5F76" w:rsidRPr="00D6665E" w:rsidRDefault="001A5F76" w:rsidP="00F82695">
      <w:pPr>
        <w:pStyle w:val="Prrafodelista"/>
        <w:ind w:left="0"/>
        <w:jc w:val="both"/>
        <w:rPr>
          <w:rFonts w:ascii="Times New Roman" w:hAnsi="Times New Roman" w:cs="Times New Roman"/>
          <w:sz w:val="24"/>
          <w:szCs w:val="24"/>
        </w:rPr>
      </w:pPr>
      <w:r w:rsidRPr="00D6665E">
        <w:rPr>
          <w:rFonts w:ascii="Times New Roman" w:hAnsi="Times New Roman" w:cs="Times New Roman"/>
          <w:sz w:val="24"/>
          <w:szCs w:val="24"/>
        </w:rPr>
        <w:t>Principales mercados emisores de Bogotá:</w:t>
      </w:r>
    </w:p>
    <w:p w:rsidR="001A5F76" w:rsidRPr="00D6665E" w:rsidRDefault="00F76629" w:rsidP="001A5F76">
      <w:pPr>
        <w:pStyle w:val="Prrafodelista"/>
        <w:jc w:val="both"/>
        <w:rPr>
          <w:rFonts w:ascii="Times New Roman" w:hAnsi="Times New Roman" w:cs="Times New Roman"/>
          <w:sz w:val="24"/>
          <w:szCs w:val="24"/>
        </w:rPr>
      </w:pPr>
      <w:r w:rsidRPr="00D6665E">
        <w:rPr>
          <w:rFonts w:ascii="Times New Roman" w:hAnsi="Times New Roman" w:cs="Times New Roman"/>
          <w:b/>
          <w:noProof/>
          <w:sz w:val="24"/>
          <w:szCs w:val="24"/>
          <w:lang w:eastAsia="es-CO"/>
        </w:rPr>
        <w:pict>
          <v:shapetype id="_x0000_t202" coordsize="21600,21600" o:spt="202" path="m,l,21600r21600,l21600,xe">
            <v:stroke joinstyle="miter"/>
            <v:path gradientshapeok="t" o:connecttype="rect"/>
          </v:shapetype>
          <v:shape id="CuadroTexto 2" o:spid="_x0000_s1026" type="#_x0000_t202" style="position:absolute;left:0;text-align:left;margin-left:15.6pt;margin-top:9.9pt;width:185.9pt;height:16.95pt;z-index:25166233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" filled="f" stroked="f">
            <v:textbox style="mso-fit-shape-to-text:t">
              <w:txbxContent>
                <w:p w:rsidR="00F82695" w:rsidRPr="00F82695" w:rsidRDefault="00F82695" w:rsidP="00F82695">
                  <w:pPr>
                    <w:pStyle w:val="NormalWeb"/>
                    <w:spacing w:before="0" w:beforeAutospacing="0" w:after="0" w:afterAutospacing="0"/>
                    <w:rPr>
                      <w:color w:val="000000" w:themeColor="text1"/>
                    </w:rPr>
                  </w:pPr>
                  <w:r w:rsidRPr="00F82695">
                    <w:rPr>
                      <w:rFonts w:eastAsia="Arial"/>
                      <w:color w:val="000000" w:themeColor="text1"/>
                      <w:sz w:val="16"/>
                      <w:szCs w:val="16"/>
                    </w:rPr>
                    <w:t xml:space="preserve">Fuente: Procolombia/Migración Colombia. </w:t>
                  </w:r>
                </w:p>
              </w:txbxContent>
            </v:textbox>
          </v:shape>
        </w:pict>
      </w:r>
      <w:r w:rsidR="00F82695" w:rsidRPr="00D6665E">
        <w:rPr>
          <w:rFonts w:ascii="Times New Roman" w:hAnsi="Times New Roman" w:cs="Times New Roman"/>
          <w:noProof/>
          <w:sz w:val="24"/>
          <w:szCs w:val="24"/>
          <w:lang w:val="es-ES" w:eastAsia="es-ES"/>
        </w:rPr>
        <w:drawing>
          <wp:anchor distT="0" distB="0" distL="114300" distR="114300" simplePos="0" relativeHeight="251659264" behindDoc="1" locked="0" layoutInCell="1" allowOverlap="1">
            <wp:simplePos x="0" y="0"/>
            <wp:positionH relativeFrom="column">
              <wp:posOffset>2869565</wp:posOffset>
            </wp:positionH>
            <wp:positionV relativeFrom="paragraph">
              <wp:posOffset>3810</wp:posOffset>
            </wp:positionV>
            <wp:extent cx="2663190" cy="1486535"/>
            <wp:effectExtent l="0" t="0" r="3810" b="0"/>
            <wp:wrapTight wrapText="bothSides">
              <wp:wrapPolygon edited="0">
                <wp:start x="0" y="0"/>
                <wp:lineTo x="0" y="21314"/>
                <wp:lineTo x="21476" y="21314"/>
                <wp:lineTo x="21476"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920" t="26957" r="26629" b="25932"/>
                    <a:stretch/>
                  </pic:blipFill>
                  <pic:spPr bwMode="auto">
                    <a:xfrm>
                      <a:off x="0" y="0"/>
                      <a:ext cx="2663190" cy="148653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A5F76" w:rsidRPr="00D6665E">
        <w:rPr>
          <w:rFonts w:ascii="Times New Roman" w:hAnsi="Times New Roman" w:cs="Times New Roman"/>
          <w:noProof/>
          <w:sz w:val="24"/>
          <w:szCs w:val="24"/>
          <w:lang w:val="es-ES" w:eastAsia="es-ES"/>
        </w:rPr>
        <w:drawing>
          <wp:anchor distT="0" distB="0" distL="114300" distR="114300" simplePos="0" relativeHeight="251660288" behindDoc="1" locked="0" layoutInCell="1" allowOverlap="1">
            <wp:simplePos x="0" y="0"/>
            <wp:positionH relativeFrom="column">
              <wp:posOffset>17780</wp:posOffset>
            </wp:positionH>
            <wp:positionV relativeFrom="paragraph">
              <wp:posOffset>2540</wp:posOffset>
            </wp:positionV>
            <wp:extent cx="2642870" cy="3442335"/>
            <wp:effectExtent l="0" t="0" r="5080" b="5715"/>
            <wp:wrapTight wrapText="bothSides">
              <wp:wrapPolygon edited="0">
                <wp:start x="0" y="0"/>
                <wp:lineTo x="0" y="21516"/>
                <wp:lineTo x="21486" y="21516"/>
                <wp:lineTo x="21486" y="0"/>
                <wp:lineTo x="0" y="0"/>
              </wp:wrapPolygon>
            </wp:wrapTight>
            <wp:docPr id="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42870" cy="3442335"/>
                    </a:xfrm>
                    <a:prstGeom prst="rect">
                      <a:avLst/>
                    </a:prstGeom>
                  </pic:spPr>
                </pic:pic>
              </a:graphicData>
            </a:graphic>
          </wp:anchor>
        </w:drawing>
      </w:r>
    </w:p>
    <w:p w:rsidR="00F82695" w:rsidRPr="00D6665E" w:rsidRDefault="00F82695" w:rsidP="001A5F76">
      <w:pPr>
        <w:pStyle w:val="Prrafodelista"/>
        <w:jc w:val="both"/>
        <w:rPr>
          <w:rFonts w:ascii="Times New Roman" w:hAnsi="Times New Roman" w:cs="Times New Roman"/>
          <w:sz w:val="24"/>
          <w:szCs w:val="24"/>
        </w:rPr>
      </w:pPr>
    </w:p>
    <w:p w:rsidR="00F82695" w:rsidRPr="00D6665E" w:rsidRDefault="00F82695" w:rsidP="001A5F76">
      <w:pPr>
        <w:pStyle w:val="Prrafodelista"/>
        <w:jc w:val="both"/>
        <w:rPr>
          <w:rFonts w:ascii="Times New Roman" w:hAnsi="Times New Roman" w:cs="Times New Roman"/>
          <w:sz w:val="24"/>
          <w:szCs w:val="24"/>
        </w:rPr>
      </w:pPr>
    </w:p>
    <w:p w:rsidR="005E4C0F" w:rsidRPr="00D6665E" w:rsidRDefault="005E4C0F" w:rsidP="001A5F76">
      <w:pPr>
        <w:pStyle w:val="Prrafodelista"/>
        <w:jc w:val="both"/>
        <w:rPr>
          <w:rFonts w:ascii="Times New Roman" w:hAnsi="Times New Roman" w:cs="Times New Roman"/>
          <w:sz w:val="24"/>
          <w:szCs w:val="24"/>
        </w:rPr>
      </w:pPr>
    </w:p>
    <w:p w:rsidR="00F82695" w:rsidRPr="00D6665E" w:rsidRDefault="00F82695" w:rsidP="00A55364">
      <w:pPr>
        <w:jc w:val="both"/>
        <w:rPr>
          <w:rFonts w:ascii="Times New Roman" w:hAnsi="Times New Roman" w:cs="Times New Roman"/>
          <w:b/>
          <w:sz w:val="24"/>
          <w:szCs w:val="24"/>
        </w:rPr>
      </w:pPr>
    </w:p>
    <w:p w:rsidR="00F82695" w:rsidRPr="00D6665E" w:rsidRDefault="00F82695" w:rsidP="00536AEC">
      <w:pPr>
        <w:pStyle w:val="Prrafodelista"/>
        <w:jc w:val="both"/>
        <w:rPr>
          <w:rFonts w:ascii="Times New Roman" w:hAnsi="Times New Roman" w:cs="Times New Roman"/>
          <w:b/>
          <w:sz w:val="24"/>
          <w:szCs w:val="24"/>
        </w:rPr>
      </w:pPr>
    </w:p>
    <w:p w:rsidR="00E57483" w:rsidRPr="00D6665E" w:rsidRDefault="00E57483" w:rsidP="00E57483">
      <w:pPr>
        <w:pStyle w:val="Prrafodelista"/>
        <w:numPr>
          <w:ilvl w:val="1"/>
          <w:numId w:val="3"/>
        </w:numPr>
        <w:jc w:val="both"/>
        <w:rPr>
          <w:rFonts w:ascii="Times New Roman" w:hAnsi="Times New Roman" w:cs="Times New Roman"/>
          <w:b/>
          <w:sz w:val="24"/>
          <w:szCs w:val="24"/>
        </w:rPr>
      </w:pPr>
      <w:r w:rsidRPr="00D6665E">
        <w:rPr>
          <w:rFonts w:ascii="Times New Roman" w:hAnsi="Times New Roman" w:cs="Times New Roman"/>
          <w:b/>
          <w:sz w:val="24"/>
          <w:szCs w:val="24"/>
        </w:rPr>
        <w:lastRenderedPageBreak/>
        <w:t>Transparencia, participación y servicio al ciudadano</w:t>
      </w:r>
    </w:p>
    <w:p w:rsidR="00CF0EC9" w:rsidRPr="00D6665E" w:rsidRDefault="00CF0EC9" w:rsidP="00CF0EC9">
      <w:pPr>
        <w:pStyle w:val="Prrafodelista"/>
        <w:jc w:val="both"/>
        <w:rPr>
          <w:rFonts w:ascii="Times New Roman" w:hAnsi="Times New Roman" w:cs="Times New Roman"/>
          <w:b/>
          <w:sz w:val="24"/>
          <w:szCs w:val="24"/>
        </w:rPr>
      </w:pPr>
    </w:p>
    <w:p w:rsidR="00CF0EC9" w:rsidRPr="00D6665E" w:rsidRDefault="00CF0EC9" w:rsidP="00CF0EC9">
      <w:pPr>
        <w:pStyle w:val="Prrafodelista"/>
        <w:jc w:val="both"/>
        <w:rPr>
          <w:rFonts w:ascii="Times New Roman" w:hAnsi="Times New Roman" w:cs="Times New Roman"/>
          <w:sz w:val="24"/>
          <w:szCs w:val="24"/>
        </w:rPr>
      </w:pPr>
      <w:r w:rsidRPr="00D6665E">
        <w:rPr>
          <w:rFonts w:ascii="Times New Roman" w:hAnsi="Times New Roman" w:cs="Times New Roman"/>
          <w:sz w:val="24"/>
          <w:szCs w:val="24"/>
        </w:rPr>
        <w:t>Como resultado de la gestión en la vigencia 2016</w:t>
      </w:r>
      <w:r w:rsidR="00E760AD" w:rsidRPr="00D6665E">
        <w:rPr>
          <w:rFonts w:ascii="Times New Roman" w:hAnsi="Times New Roman" w:cs="Times New Roman"/>
          <w:sz w:val="24"/>
          <w:szCs w:val="24"/>
        </w:rPr>
        <w:t>, se presentaron</w:t>
      </w:r>
      <w:r w:rsidRPr="00D6665E">
        <w:rPr>
          <w:rFonts w:ascii="Times New Roman" w:hAnsi="Times New Roman" w:cs="Times New Roman"/>
          <w:sz w:val="24"/>
          <w:szCs w:val="24"/>
        </w:rPr>
        <w:t xml:space="preserve"> por parte del </w:t>
      </w:r>
      <w:r w:rsidR="00E760AD" w:rsidRPr="00D6665E">
        <w:rPr>
          <w:rFonts w:ascii="Times New Roman" w:hAnsi="Times New Roman" w:cs="Times New Roman"/>
          <w:sz w:val="24"/>
          <w:szCs w:val="24"/>
        </w:rPr>
        <w:t>I</w:t>
      </w:r>
      <w:r w:rsidRPr="00D6665E">
        <w:rPr>
          <w:rFonts w:ascii="Times New Roman" w:hAnsi="Times New Roman" w:cs="Times New Roman"/>
          <w:sz w:val="24"/>
          <w:szCs w:val="24"/>
        </w:rPr>
        <w:t>nstituto los siguientes resultados:</w:t>
      </w:r>
    </w:p>
    <w:p w:rsidR="00CF0EC9" w:rsidRPr="00D6665E" w:rsidRDefault="00CF0EC9" w:rsidP="00CF0EC9">
      <w:pPr>
        <w:pStyle w:val="Prrafodelista"/>
        <w:jc w:val="both"/>
        <w:rPr>
          <w:rFonts w:ascii="Times New Roman" w:hAnsi="Times New Roman" w:cs="Times New Roman"/>
          <w:b/>
          <w:sz w:val="24"/>
          <w:szCs w:val="24"/>
        </w:rPr>
      </w:pPr>
    </w:p>
    <w:p w:rsidR="00CF0EC9" w:rsidRPr="00D6665E" w:rsidRDefault="00CF0EC9" w:rsidP="00CF0EC9">
      <w:pPr>
        <w:pStyle w:val="Prrafodelista"/>
        <w:numPr>
          <w:ilvl w:val="0"/>
          <w:numId w:val="19"/>
        </w:numPr>
        <w:jc w:val="both"/>
        <w:rPr>
          <w:rFonts w:ascii="Times New Roman" w:hAnsi="Times New Roman" w:cs="Times New Roman"/>
          <w:sz w:val="24"/>
          <w:szCs w:val="24"/>
        </w:rPr>
      </w:pPr>
      <w:r w:rsidRPr="00D6665E">
        <w:rPr>
          <w:rFonts w:ascii="Times New Roman" w:hAnsi="Times New Roman" w:cs="Times New Roman"/>
          <w:sz w:val="24"/>
          <w:szCs w:val="24"/>
          <w:lang w:val="es-ES"/>
        </w:rPr>
        <w:t>Felicitaciones, peticiones, quejas, reclamos y sugerencias - FPQRS</w:t>
      </w:r>
    </w:p>
    <w:tbl>
      <w:tblPr>
        <w:tblW w:w="8946" w:type="dxa"/>
        <w:jc w:val="center"/>
        <w:tblInd w:w="55" w:type="dxa"/>
        <w:tblCellMar>
          <w:left w:w="70" w:type="dxa"/>
          <w:right w:w="70" w:type="dxa"/>
        </w:tblCellMar>
        <w:tblLook w:val="0600"/>
      </w:tblPr>
      <w:tblGrid>
        <w:gridCol w:w="2040"/>
        <w:gridCol w:w="1240"/>
        <w:gridCol w:w="1280"/>
        <w:gridCol w:w="1554"/>
        <w:gridCol w:w="1984"/>
        <w:gridCol w:w="993"/>
      </w:tblGrid>
      <w:tr w:rsidR="00CF0EC9" w:rsidRPr="00D6665E" w:rsidTr="00CF0EC9">
        <w:trPr>
          <w:trHeight w:val="615"/>
          <w:jc w:val="center"/>
        </w:trPr>
        <w:tc>
          <w:tcPr>
            <w:tcW w:w="2040" w:type="dxa"/>
            <w:tcBorders>
              <w:top w:val="single" w:sz="8" w:space="0" w:color="auto"/>
              <w:left w:val="single" w:sz="8" w:space="0" w:color="auto"/>
              <w:bottom w:val="single" w:sz="4" w:space="0" w:color="auto"/>
              <w:right w:val="single" w:sz="4" w:space="0" w:color="auto"/>
            </w:tcBorders>
            <w:shd w:val="clear" w:color="000000" w:fill="DCE6F1"/>
            <w:vAlign w:val="center"/>
            <w:hideMark/>
          </w:tcPr>
          <w:p w:rsidR="00CF0EC9" w:rsidRPr="00D6665E" w:rsidRDefault="00CF0EC9" w:rsidP="00CF0EC9">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Tipo de Requerimiento</w:t>
            </w:r>
          </w:p>
        </w:tc>
        <w:tc>
          <w:tcPr>
            <w:tcW w:w="1240" w:type="dxa"/>
            <w:tcBorders>
              <w:top w:val="single" w:sz="8" w:space="0" w:color="auto"/>
              <w:left w:val="nil"/>
              <w:bottom w:val="single" w:sz="4" w:space="0" w:color="auto"/>
              <w:right w:val="single" w:sz="4" w:space="0" w:color="auto"/>
            </w:tcBorders>
            <w:shd w:val="clear" w:color="000000" w:fill="DCE6F1"/>
            <w:vAlign w:val="center"/>
            <w:hideMark/>
          </w:tcPr>
          <w:p w:rsidR="00CF0EC9" w:rsidRPr="00D6665E" w:rsidRDefault="00CF0EC9" w:rsidP="00CF0EC9">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Derecho de Petición</w:t>
            </w:r>
          </w:p>
        </w:tc>
        <w:tc>
          <w:tcPr>
            <w:tcW w:w="1280" w:type="dxa"/>
            <w:tcBorders>
              <w:top w:val="single" w:sz="8" w:space="0" w:color="auto"/>
              <w:left w:val="nil"/>
              <w:bottom w:val="single" w:sz="4" w:space="0" w:color="auto"/>
              <w:right w:val="single" w:sz="4" w:space="0" w:color="auto"/>
            </w:tcBorders>
            <w:shd w:val="clear" w:color="000000" w:fill="DCE6F1"/>
            <w:vAlign w:val="center"/>
            <w:hideMark/>
          </w:tcPr>
          <w:p w:rsidR="00CF0EC9" w:rsidRPr="00D6665E" w:rsidRDefault="00CF0EC9" w:rsidP="00CF0EC9">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Circular Distrital</w:t>
            </w:r>
          </w:p>
        </w:tc>
        <w:tc>
          <w:tcPr>
            <w:tcW w:w="1409" w:type="dxa"/>
            <w:tcBorders>
              <w:top w:val="single" w:sz="8" w:space="0" w:color="auto"/>
              <w:left w:val="nil"/>
              <w:bottom w:val="single" w:sz="4" w:space="0" w:color="auto"/>
              <w:right w:val="single" w:sz="4" w:space="0" w:color="auto"/>
            </w:tcBorders>
            <w:shd w:val="clear" w:color="000000" w:fill="DCE6F1"/>
            <w:vAlign w:val="center"/>
            <w:hideMark/>
          </w:tcPr>
          <w:p w:rsidR="00CF0EC9" w:rsidRPr="00D6665E" w:rsidRDefault="00CF0EC9" w:rsidP="00CF0EC9">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Proposiciones del concejo</w:t>
            </w:r>
          </w:p>
        </w:tc>
        <w:tc>
          <w:tcPr>
            <w:tcW w:w="1984" w:type="dxa"/>
            <w:tcBorders>
              <w:top w:val="single" w:sz="8" w:space="0" w:color="auto"/>
              <w:left w:val="nil"/>
              <w:bottom w:val="single" w:sz="4" w:space="0" w:color="auto"/>
              <w:right w:val="single" w:sz="4" w:space="0" w:color="auto"/>
            </w:tcBorders>
            <w:shd w:val="clear" w:color="000000" w:fill="DCE6F1"/>
            <w:vAlign w:val="center"/>
            <w:hideMark/>
          </w:tcPr>
          <w:p w:rsidR="00CF0EC9" w:rsidRPr="00D6665E" w:rsidRDefault="00CF0EC9" w:rsidP="00CF0EC9">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Denuncias por Presuntos Actos de Corrupción</w:t>
            </w:r>
          </w:p>
        </w:tc>
        <w:tc>
          <w:tcPr>
            <w:tcW w:w="993" w:type="dxa"/>
            <w:tcBorders>
              <w:top w:val="single" w:sz="8" w:space="0" w:color="auto"/>
              <w:left w:val="nil"/>
              <w:bottom w:val="single" w:sz="4" w:space="0" w:color="auto"/>
              <w:right w:val="single" w:sz="8" w:space="0" w:color="auto"/>
            </w:tcBorders>
            <w:shd w:val="clear" w:color="000000" w:fill="DCE6F1"/>
            <w:vAlign w:val="center"/>
            <w:hideMark/>
          </w:tcPr>
          <w:p w:rsidR="00CF0EC9" w:rsidRPr="00D6665E" w:rsidRDefault="00CF0EC9" w:rsidP="00CF0EC9">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Total</w:t>
            </w:r>
          </w:p>
        </w:tc>
      </w:tr>
      <w:tr w:rsidR="00CF0EC9" w:rsidRPr="00D6665E" w:rsidTr="00CF0EC9">
        <w:trPr>
          <w:trHeight w:val="315"/>
          <w:jc w:val="center"/>
        </w:trPr>
        <w:tc>
          <w:tcPr>
            <w:tcW w:w="2040" w:type="dxa"/>
            <w:tcBorders>
              <w:top w:val="nil"/>
              <w:left w:val="single" w:sz="8" w:space="0" w:color="auto"/>
              <w:bottom w:val="single" w:sz="8" w:space="0" w:color="auto"/>
              <w:right w:val="single" w:sz="4" w:space="0" w:color="auto"/>
            </w:tcBorders>
            <w:shd w:val="clear" w:color="000000" w:fill="DCE6F1"/>
            <w:noWrap/>
            <w:vAlign w:val="bottom"/>
            <w:hideMark/>
          </w:tcPr>
          <w:p w:rsidR="00CF0EC9" w:rsidRPr="00D6665E" w:rsidRDefault="00CF0EC9" w:rsidP="00CF0EC9">
            <w:pPr>
              <w:spacing w:after="0" w:line="240" w:lineRule="auto"/>
              <w:jc w:val="center"/>
              <w:rPr>
                <w:rFonts w:ascii="Times New Roman" w:eastAsia="Times New Roman" w:hAnsi="Times New Roman" w:cs="Times New Roman"/>
                <w:b/>
                <w:bCs/>
                <w:color w:val="000000"/>
                <w:sz w:val="24"/>
                <w:szCs w:val="24"/>
                <w:lang w:eastAsia="es-CO"/>
              </w:rPr>
            </w:pPr>
            <w:r w:rsidRPr="00D6665E">
              <w:rPr>
                <w:rFonts w:ascii="Times New Roman" w:eastAsia="Times New Roman" w:hAnsi="Times New Roman" w:cs="Times New Roman"/>
                <w:b/>
                <w:bCs/>
                <w:color w:val="000000"/>
                <w:sz w:val="24"/>
                <w:szCs w:val="24"/>
                <w:lang w:eastAsia="es-CO"/>
              </w:rPr>
              <w:t>Total  2016</w:t>
            </w:r>
          </w:p>
        </w:tc>
        <w:tc>
          <w:tcPr>
            <w:tcW w:w="1240" w:type="dxa"/>
            <w:tcBorders>
              <w:top w:val="nil"/>
              <w:left w:val="nil"/>
              <w:bottom w:val="single" w:sz="8" w:space="0" w:color="auto"/>
              <w:right w:val="single" w:sz="4" w:space="0" w:color="auto"/>
            </w:tcBorders>
            <w:shd w:val="clear" w:color="auto" w:fill="auto"/>
            <w:noWrap/>
            <w:vAlign w:val="bottom"/>
            <w:hideMark/>
          </w:tcPr>
          <w:p w:rsidR="00CF0EC9" w:rsidRPr="00D6665E" w:rsidRDefault="00CF0EC9" w:rsidP="00CF0EC9">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245</w:t>
            </w:r>
          </w:p>
        </w:tc>
        <w:tc>
          <w:tcPr>
            <w:tcW w:w="1280" w:type="dxa"/>
            <w:tcBorders>
              <w:top w:val="nil"/>
              <w:left w:val="nil"/>
              <w:bottom w:val="single" w:sz="8" w:space="0" w:color="auto"/>
              <w:right w:val="single" w:sz="4" w:space="0" w:color="auto"/>
            </w:tcBorders>
            <w:shd w:val="clear" w:color="auto" w:fill="auto"/>
            <w:noWrap/>
            <w:vAlign w:val="bottom"/>
            <w:hideMark/>
          </w:tcPr>
          <w:p w:rsidR="00CF0EC9" w:rsidRPr="00D6665E" w:rsidRDefault="00CF0EC9" w:rsidP="00CF0EC9">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31</w:t>
            </w:r>
          </w:p>
        </w:tc>
        <w:tc>
          <w:tcPr>
            <w:tcW w:w="1409" w:type="dxa"/>
            <w:tcBorders>
              <w:top w:val="nil"/>
              <w:left w:val="nil"/>
              <w:bottom w:val="single" w:sz="8" w:space="0" w:color="auto"/>
              <w:right w:val="single" w:sz="4" w:space="0" w:color="auto"/>
            </w:tcBorders>
            <w:shd w:val="clear" w:color="auto" w:fill="auto"/>
            <w:noWrap/>
            <w:vAlign w:val="bottom"/>
            <w:hideMark/>
          </w:tcPr>
          <w:p w:rsidR="00CF0EC9" w:rsidRPr="00D6665E" w:rsidRDefault="00CF0EC9" w:rsidP="00CF0EC9">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19</w:t>
            </w:r>
          </w:p>
        </w:tc>
        <w:tc>
          <w:tcPr>
            <w:tcW w:w="1984" w:type="dxa"/>
            <w:tcBorders>
              <w:top w:val="nil"/>
              <w:left w:val="nil"/>
              <w:bottom w:val="single" w:sz="8" w:space="0" w:color="auto"/>
              <w:right w:val="single" w:sz="4" w:space="0" w:color="auto"/>
            </w:tcBorders>
            <w:shd w:val="clear" w:color="auto" w:fill="auto"/>
            <w:noWrap/>
            <w:vAlign w:val="bottom"/>
            <w:hideMark/>
          </w:tcPr>
          <w:p w:rsidR="00CF0EC9" w:rsidRPr="00D6665E" w:rsidRDefault="00CF0EC9" w:rsidP="00CF0EC9">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0</w:t>
            </w:r>
          </w:p>
        </w:tc>
        <w:tc>
          <w:tcPr>
            <w:tcW w:w="993" w:type="dxa"/>
            <w:tcBorders>
              <w:top w:val="nil"/>
              <w:left w:val="nil"/>
              <w:bottom w:val="single" w:sz="8" w:space="0" w:color="auto"/>
              <w:right w:val="single" w:sz="8" w:space="0" w:color="auto"/>
            </w:tcBorders>
            <w:shd w:val="clear" w:color="auto" w:fill="auto"/>
            <w:noWrap/>
            <w:vAlign w:val="bottom"/>
            <w:hideMark/>
          </w:tcPr>
          <w:p w:rsidR="00CF0EC9" w:rsidRPr="00D6665E" w:rsidRDefault="00CF0EC9" w:rsidP="00CF0EC9">
            <w:pPr>
              <w:spacing w:after="0" w:line="240" w:lineRule="auto"/>
              <w:jc w:val="center"/>
              <w:rPr>
                <w:rFonts w:ascii="Times New Roman" w:eastAsia="Times New Roman" w:hAnsi="Times New Roman" w:cs="Times New Roman"/>
                <w:color w:val="000000"/>
                <w:sz w:val="24"/>
                <w:szCs w:val="24"/>
                <w:lang w:eastAsia="es-CO"/>
              </w:rPr>
            </w:pPr>
            <w:r w:rsidRPr="00D6665E">
              <w:rPr>
                <w:rFonts w:ascii="Times New Roman" w:eastAsia="Times New Roman" w:hAnsi="Times New Roman" w:cs="Times New Roman"/>
                <w:color w:val="000000"/>
                <w:sz w:val="24"/>
                <w:szCs w:val="24"/>
                <w:lang w:eastAsia="es-CO"/>
              </w:rPr>
              <w:t>295</w:t>
            </w:r>
          </w:p>
        </w:tc>
      </w:tr>
    </w:tbl>
    <w:p w:rsidR="00CF0EC9" w:rsidRPr="00D6665E" w:rsidRDefault="00E760AD" w:rsidP="00E760AD">
      <w:pPr>
        <w:ind w:left="360"/>
        <w:jc w:val="center"/>
        <w:rPr>
          <w:rFonts w:ascii="Times New Roman" w:hAnsi="Times New Roman" w:cs="Times New Roman"/>
          <w:sz w:val="24"/>
          <w:szCs w:val="24"/>
        </w:rPr>
      </w:pPr>
      <w:r w:rsidRPr="00D6665E">
        <w:rPr>
          <w:rFonts w:ascii="Times New Roman" w:hAnsi="Times New Roman" w:cs="Times New Roman"/>
          <w:noProof/>
          <w:sz w:val="24"/>
          <w:szCs w:val="24"/>
          <w:lang w:val="es-ES" w:eastAsia="es-ES"/>
        </w:rPr>
        <w:drawing>
          <wp:inline distT="0" distB="0" distL="0" distR="0">
            <wp:extent cx="3442915" cy="1121134"/>
            <wp:effectExtent l="0" t="0" r="5715"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30029" t="48118" r="8640" b="16360"/>
                    <a:stretch/>
                  </pic:blipFill>
                  <pic:spPr bwMode="auto">
                    <a:xfrm>
                      <a:off x="0" y="0"/>
                      <a:ext cx="3442001" cy="112083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A2F4C" w:rsidRPr="00D6665E" w:rsidRDefault="00E760AD" w:rsidP="00D75522">
      <w:pPr>
        <w:jc w:val="both"/>
        <w:rPr>
          <w:rFonts w:ascii="Times New Roman" w:hAnsi="Times New Roman" w:cs="Times New Roman"/>
          <w:sz w:val="18"/>
          <w:szCs w:val="18"/>
        </w:rPr>
      </w:pPr>
      <w:r w:rsidRPr="00D6665E">
        <w:rPr>
          <w:rFonts w:ascii="Times New Roman" w:hAnsi="Times New Roman" w:cs="Times New Roman"/>
          <w:sz w:val="18"/>
          <w:szCs w:val="18"/>
        </w:rPr>
        <w:t>Fuente: Instituto Distrital de Turismo 2016</w:t>
      </w:r>
      <w:r w:rsidR="00B25A35" w:rsidRPr="00D6665E">
        <w:rPr>
          <w:rFonts w:ascii="Times New Roman" w:hAnsi="Times New Roman" w:cs="Times New Roman"/>
          <w:sz w:val="18"/>
          <w:szCs w:val="18"/>
        </w:rPr>
        <w:t>.</w:t>
      </w:r>
    </w:p>
    <w:p w:rsidR="00B25A35" w:rsidRPr="00D6665E" w:rsidRDefault="00B25A35" w:rsidP="00D75522">
      <w:pPr>
        <w:jc w:val="both"/>
        <w:rPr>
          <w:rFonts w:ascii="Times New Roman" w:hAnsi="Times New Roman" w:cs="Times New Roman"/>
          <w:sz w:val="24"/>
          <w:szCs w:val="24"/>
        </w:rPr>
      </w:pPr>
    </w:p>
    <w:p w:rsidR="00B25A35" w:rsidRPr="00D6665E" w:rsidRDefault="005C2BE6" w:rsidP="005C2BE6">
      <w:pPr>
        <w:pStyle w:val="Prrafodelista"/>
        <w:numPr>
          <w:ilvl w:val="1"/>
          <w:numId w:val="3"/>
        </w:numPr>
        <w:jc w:val="both"/>
        <w:rPr>
          <w:rFonts w:ascii="Times New Roman" w:hAnsi="Times New Roman" w:cs="Times New Roman"/>
          <w:b/>
          <w:sz w:val="24"/>
          <w:szCs w:val="24"/>
        </w:rPr>
      </w:pPr>
      <w:r w:rsidRPr="00D6665E">
        <w:rPr>
          <w:rFonts w:ascii="Times New Roman" w:hAnsi="Times New Roman" w:cs="Times New Roman"/>
          <w:b/>
          <w:sz w:val="24"/>
          <w:szCs w:val="24"/>
        </w:rPr>
        <w:t>Proyectos prioritarios 2017</w:t>
      </w:r>
    </w:p>
    <w:p w:rsidR="005C2BE6" w:rsidRPr="00D6665E" w:rsidRDefault="005C2BE6" w:rsidP="005C2BE6">
      <w:pPr>
        <w:pStyle w:val="Prrafodelista"/>
        <w:jc w:val="both"/>
        <w:rPr>
          <w:rFonts w:ascii="Times New Roman" w:hAnsi="Times New Roman" w:cs="Times New Roman"/>
          <w:sz w:val="24"/>
          <w:szCs w:val="24"/>
        </w:rPr>
      </w:pPr>
    </w:p>
    <w:p w:rsidR="005C2BE6" w:rsidRPr="00D6665E" w:rsidRDefault="005C2BE6" w:rsidP="005C2BE6">
      <w:pPr>
        <w:pStyle w:val="Prrafodelista"/>
        <w:jc w:val="both"/>
        <w:rPr>
          <w:rFonts w:ascii="Times New Roman" w:hAnsi="Times New Roman" w:cs="Times New Roman"/>
          <w:sz w:val="24"/>
          <w:szCs w:val="24"/>
        </w:rPr>
      </w:pPr>
      <w:r w:rsidRPr="00D6665E">
        <w:rPr>
          <w:rFonts w:ascii="Times New Roman" w:hAnsi="Times New Roman" w:cs="Times New Roman"/>
          <w:sz w:val="24"/>
          <w:szCs w:val="24"/>
        </w:rPr>
        <w:t>Durante esta vigencia se proyectaron algunas actividades que serán prioritarias para el año 2017:</w:t>
      </w:r>
    </w:p>
    <w:p w:rsidR="005C2BE6" w:rsidRPr="00D6665E" w:rsidRDefault="005C2BE6" w:rsidP="005C2BE6">
      <w:pPr>
        <w:pStyle w:val="Prrafodelista"/>
        <w:jc w:val="both"/>
        <w:rPr>
          <w:rFonts w:ascii="Times New Roman" w:hAnsi="Times New Roman" w:cs="Times New Roman"/>
          <w:sz w:val="24"/>
          <w:szCs w:val="24"/>
        </w:rPr>
      </w:pPr>
    </w:p>
    <w:p w:rsidR="005C2BE6" w:rsidRPr="00D6665E" w:rsidRDefault="005C2BE6" w:rsidP="005C2BE6">
      <w:pPr>
        <w:pStyle w:val="Prrafodelista"/>
        <w:numPr>
          <w:ilvl w:val="0"/>
          <w:numId w:val="19"/>
        </w:numPr>
        <w:jc w:val="both"/>
        <w:rPr>
          <w:rFonts w:ascii="Times New Roman" w:hAnsi="Times New Roman" w:cs="Times New Roman"/>
          <w:sz w:val="24"/>
          <w:szCs w:val="24"/>
        </w:rPr>
      </w:pPr>
      <w:r w:rsidRPr="00D6665E">
        <w:rPr>
          <w:rFonts w:ascii="Times New Roman" w:hAnsi="Times New Roman" w:cs="Times New Roman"/>
          <w:sz w:val="24"/>
          <w:szCs w:val="24"/>
        </w:rPr>
        <w:t>Nuevos Puntos de Información Turística – PIT: Aeropuerto, Chorro de Quevedo.</w:t>
      </w:r>
    </w:p>
    <w:p w:rsidR="005C2BE6" w:rsidRPr="00D6665E" w:rsidRDefault="005C2BE6" w:rsidP="005C2BE6">
      <w:pPr>
        <w:pStyle w:val="Prrafodelista"/>
        <w:numPr>
          <w:ilvl w:val="0"/>
          <w:numId w:val="19"/>
        </w:numPr>
        <w:jc w:val="both"/>
        <w:rPr>
          <w:rFonts w:ascii="Times New Roman" w:hAnsi="Times New Roman" w:cs="Times New Roman"/>
          <w:sz w:val="24"/>
          <w:szCs w:val="24"/>
        </w:rPr>
      </w:pPr>
      <w:r w:rsidRPr="00D6665E">
        <w:rPr>
          <w:rFonts w:ascii="Times New Roman" w:hAnsi="Times New Roman" w:cs="Times New Roman"/>
          <w:sz w:val="24"/>
          <w:szCs w:val="24"/>
        </w:rPr>
        <w:t>Entrega adecuación física del Chorro de Quevedo</w:t>
      </w:r>
    </w:p>
    <w:p w:rsidR="005C2BE6" w:rsidRPr="00D6665E" w:rsidRDefault="005C2BE6" w:rsidP="005C2BE6">
      <w:pPr>
        <w:pStyle w:val="Prrafodelista"/>
        <w:numPr>
          <w:ilvl w:val="0"/>
          <w:numId w:val="19"/>
        </w:numPr>
        <w:jc w:val="both"/>
        <w:rPr>
          <w:rFonts w:ascii="Times New Roman" w:hAnsi="Times New Roman" w:cs="Times New Roman"/>
          <w:sz w:val="24"/>
          <w:szCs w:val="24"/>
        </w:rPr>
      </w:pPr>
      <w:r w:rsidRPr="00D6665E">
        <w:rPr>
          <w:rFonts w:ascii="Times New Roman" w:hAnsi="Times New Roman" w:cs="Times New Roman"/>
          <w:sz w:val="24"/>
          <w:szCs w:val="24"/>
        </w:rPr>
        <w:t>Diseño del centro de bienvenida y parqueaderos Monserrate</w:t>
      </w:r>
    </w:p>
    <w:p w:rsidR="005C2BE6" w:rsidRPr="00D6665E" w:rsidRDefault="005C2BE6" w:rsidP="005C2BE6">
      <w:pPr>
        <w:pStyle w:val="Prrafodelista"/>
        <w:numPr>
          <w:ilvl w:val="0"/>
          <w:numId w:val="19"/>
        </w:numPr>
        <w:jc w:val="both"/>
        <w:rPr>
          <w:rFonts w:ascii="Times New Roman" w:hAnsi="Times New Roman" w:cs="Times New Roman"/>
          <w:sz w:val="24"/>
          <w:szCs w:val="24"/>
        </w:rPr>
      </w:pPr>
      <w:r w:rsidRPr="00D6665E">
        <w:rPr>
          <w:rFonts w:ascii="Times New Roman" w:hAnsi="Times New Roman" w:cs="Times New Roman"/>
          <w:sz w:val="24"/>
          <w:szCs w:val="24"/>
        </w:rPr>
        <w:t>Mega evento gastronómico Fifty Best Mestizaje</w:t>
      </w:r>
    </w:p>
    <w:p w:rsidR="005C2BE6" w:rsidRPr="00D6665E" w:rsidRDefault="005C2BE6" w:rsidP="005C2BE6">
      <w:pPr>
        <w:pStyle w:val="Prrafodelista"/>
        <w:numPr>
          <w:ilvl w:val="0"/>
          <w:numId w:val="19"/>
        </w:numPr>
        <w:jc w:val="both"/>
        <w:rPr>
          <w:rFonts w:ascii="Times New Roman" w:hAnsi="Times New Roman" w:cs="Times New Roman"/>
          <w:sz w:val="24"/>
          <w:szCs w:val="24"/>
        </w:rPr>
      </w:pPr>
      <w:r w:rsidRPr="00D6665E">
        <w:rPr>
          <w:rFonts w:ascii="Times New Roman" w:hAnsi="Times New Roman" w:cs="Times New Roman"/>
          <w:sz w:val="24"/>
          <w:szCs w:val="24"/>
        </w:rPr>
        <w:t>Plataforma agenda de ciudad (proyecto recurso de regalías)</w:t>
      </w:r>
    </w:p>
    <w:p w:rsidR="005C2BE6" w:rsidRPr="00D6665E" w:rsidRDefault="005C2BE6" w:rsidP="005C2BE6">
      <w:pPr>
        <w:pStyle w:val="Prrafodelista"/>
        <w:numPr>
          <w:ilvl w:val="0"/>
          <w:numId w:val="19"/>
        </w:numPr>
        <w:jc w:val="both"/>
        <w:rPr>
          <w:rFonts w:ascii="Times New Roman" w:hAnsi="Times New Roman" w:cs="Times New Roman"/>
          <w:sz w:val="24"/>
          <w:szCs w:val="24"/>
        </w:rPr>
      </w:pPr>
      <w:r w:rsidRPr="00D6665E">
        <w:rPr>
          <w:rFonts w:ascii="Times New Roman" w:hAnsi="Times New Roman" w:cs="Times New Roman"/>
          <w:sz w:val="24"/>
          <w:szCs w:val="24"/>
        </w:rPr>
        <w:t>Ruta el Dorado, como producto turístico regional.</w:t>
      </w:r>
    </w:p>
    <w:p w:rsidR="00B25A35" w:rsidRPr="00D6665E" w:rsidRDefault="00B25A35" w:rsidP="00D75522">
      <w:pPr>
        <w:jc w:val="both"/>
        <w:rPr>
          <w:rFonts w:ascii="Times New Roman" w:hAnsi="Times New Roman" w:cs="Times New Roman"/>
          <w:sz w:val="24"/>
          <w:szCs w:val="24"/>
        </w:rPr>
      </w:pPr>
    </w:p>
    <w:p w:rsidR="00D75522" w:rsidRPr="00D6665E" w:rsidRDefault="005C2BE6" w:rsidP="005C2BE6">
      <w:pPr>
        <w:spacing w:after="0" w:line="240" w:lineRule="auto"/>
        <w:jc w:val="both"/>
        <w:rPr>
          <w:rFonts w:ascii="Times New Roman" w:hAnsi="Times New Roman" w:cs="Times New Roman"/>
          <w:sz w:val="24"/>
          <w:szCs w:val="24"/>
        </w:rPr>
      </w:pPr>
      <w:r w:rsidRPr="00D6665E">
        <w:rPr>
          <w:rFonts w:ascii="Times New Roman" w:hAnsi="Times New Roman" w:cs="Times New Roman"/>
          <w:b/>
          <w:sz w:val="24"/>
          <w:szCs w:val="24"/>
        </w:rPr>
        <w:t>CIERRE DEL EVENTO RENDICIÓN DE CUENTAS IDT 2016</w:t>
      </w:r>
    </w:p>
    <w:p w:rsidR="00D75522" w:rsidRPr="00D6665E" w:rsidRDefault="00D75522" w:rsidP="00D75522">
      <w:pPr>
        <w:rPr>
          <w:rFonts w:ascii="Times New Roman" w:hAnsi="Times New Roman" w:cs="Times New Roman"/>
          <w:sz w:val="24"/>
          <w:szCs w:val="24"/>
        </w:rPr>
      </w:pPr>
    </w:p>
    <w:p w:rsidR="00D75522" w:rsidRPr="00D6665E" w:rsidRDefault="00D75522" w:rsidP="00D75522">
      <w:pPr>
        <w:rPr>
          <w:rFonts w:ascii="Times New Roman" w:hAnsi="Times New Roman" w:cs="Times New Roman"/>
          <w:sz w:val="24"/>
          <w:szCs w:val="24"/>
        </w:rPr>
      </w:pPr>
      <w:r w:rsidRPr="00D6665E">
        <w:rPr>
          <w:rFonts w:ascii="Times New Roman" w:hAnsi="Times New Roman" w:cs="Times New Roman"/>
          <w:sz w:val="24"/>
          <w:szCs w:val="24"/>
        </w:rPr>
        <w:t xml:space="preserve">La Jornada de </w:t>
      </w:r>
      <w:r w:rsidR="00CA5CDA" w:rsidRPr="00D6665E">
        <w:rPr>
          <w:rFonts w:ascii="Times New Roman" w:hAnsi="Times New Roman" w:cs="Times New Roman"/>
          <w:sz w:val="24"/>
          <w:szCs w:val="24"/>
        </w:rPr>
        <w:t>Rendición de Cuentas Instituto Distrital de Turismo 2016, se dio por finalizada a las 11:30a</w:t>
      </w:r>
      <w:r w:rsidR="00D6665E">
        <w:rPr>
          <w:rFonts w:ascii="Times New Roman" w:hAnsi="Times New Roman" w:cs="Times New Roman"/>
          <w:sz w:val="24"/>
          <w:szCs w:val="24"/>
        </w:rPr>
        <w:t>m</w:t>
      </w:r>
      <w:r w:rsidRPr="00D6665E">
        <w:rPr>
          <w:rFonts w:ascii="Times New Roman" w:hAnsi="Times New Roman" w:cs="Times New Roman"/>
          <w:sz w:val="24"/>
          <w:szCs w:val="24"/>
        </w:rPr>
        <w:t>.</w:t>
      </w:r>
    </w:p>
    <w:p w:rsidR="00CA5CDA" w:rsidRPr="00D6665E" w:rsidRDefault="00CA5CDA" w:rsidP="00D75522">
      <w:pPr>
        <w:rPr>
          <w:rFonts w:ascii="Times New Roman" w:hAnsi="Times New Roman" w:cs="Times New Roman"/>
          <w:sz w:val="24"/>
          <w:szCs w:val="24"/>
        </w:rPr>
      </w:pPr>
    </w:p>
    <w:p w:rsidR="00523DF0" w:rsidRPr="00D6665E" w:rsidRDefault="00523DF0" w:rsidP="00D75522">
      <w:pPr>
        <w:rPr>
          <w:rFonts w:ascii="Times New Roman" w:hAnsi="Times New Roman" w:cs="Times New Roman"/>
          <w:sz w:val="24"/>
          <w:szCs w:val="24"/>
        </w:rPr>
      </w:pPr>
    </w:p>
    <w:p w:rsidR="00523DF0" w:rsidRPr="00D6665E" w:rsidRDefault="00523DF0" w:rsidP="00D75522">
      <w:pPr>
        <w:rPr>
          <w:rFonts w:ascii="Times New Roman" w:hAnsi="Times New Roman" w:cs="Times New Roman"/>
          <w:sz w:val="24"/>
          <w:szCs w:val="24"/>
        </w:rPr>
      </w:pPr>
    </w:p>
    <w:p w:rsidR="00CA5CDA" w:rsidRPr="00D6665E" w:rsidRDefault="00CA5CDA" w:rsidP="00CA5CDA">
      <w:pPr>
        <w:jc w:val="center"/>
        <w:rPr>
          <w:rFonts w:ascii="Times New Roman" w:hAnsi="Times New Roman" w:cs="Times New Roman"/>
          <w:b/>
          <w:sz w:val="24"/>
          <w:szCs w:val="24"/>
        </w:rPr>
      </w:pPr>
      <w:r w:rsidRPr="00D6665E">
        <w:rPr>
          <w:rFonts w:ascii="Times New Roman" w:hAnsi="Times New Roman" w:cs="Times New Roman"/>
          <w:b/>
          <w:sz w:val="24"/>
          <w:szCs w:val="24"/>
        </w:rPr>
        <w:lastRenderedPageBreak/>
        <w:t>ACTIVIDADES PREVIAS AL EVENTO</w:t>
      </w:r>
    </w:p>
    <w:p w:rsidR="00CA5CDA" w:rsidRPr="00D6665E" w:rsidRDefault="00CA5CDA" w:rsidP="00B42A80">
      <w:pPr>
        <w:jc w:val="both"/>
        <w:rPr>
          <w:rFonts w:ascii="Times New Roman" w:hAnsi="Times New Roman" w:cs="Times New Roman"/>
          <w:sz w:val="24"/>
          <w:szCs w:val="24"/>
        </w:rPr>
      </w:pPr>
      <w:r w:rsidRPr="00D6665E">
        <w:rPr>
          <w:rFonts w:ascii="Times New Roman" w:hAnsi="Times New Roman" w:cs="Times New Roman"/>
          <w:sz w:val="24"/>
          <w:szCs w:val="24"/>
        </w:rPr>
        <w:t>Para la realización del evento, anteriormente expuesto, se realizaron las siguientes actividades:</w:t>
      </w:r>
    </w:p>
    <w:p w:rsidR="00CA5CDA" w:rsidRPr="00D6665E" w:rsidRDefault="005321CF" w:rsidP="00B42A80">
      <w:pPr>
        <w:pStyle w:val="Prrafodelista"/>
        <w:numPr>
          <w:ilvl w:val="0"/>
          <w:numId w:val="21"/>
        </w:numPr>
        <w:jc w:val="both"/>
        <w:rPr>
          <w:rFonts w:ascii="Times New Roman" w:hAnsi="Times New Roman" w:cs="Times New Roman"/>
          <w:sz w:val="24"/>
          <w:szCs w:val="24"/>
        </w:rPr>
      </w:pPr>
      <w:r w:rsidRPr="00D6665E">
        <w:rPr>
          <w:rFonts w:ascii="Times New Roman" w:hAnsi="Times New Roman" w:cs="Times New Roman"/>
          <w:sz w:val="24"/>
          <w:szCs w:val="24"/>
        </w:rPr>
        <w:t>Envío de memorando</w:t>
      </w:r>
      <w:r w:rsidR="004027C6" w:rsidRPr="00D6665E">
        <w:rPr>
          <w:rFonts w:ascii="Times New Roman" w:hAnsi="Times New Roman" w:cs="Times New Roman"/>
          <w:sz w:val="24"/>
          <w:szCs w:val="24"/>
        </w:rPr>
        <w:t xml:space="preserve"> número</w:t>
      </w:r>
      <w:r w:rsidR="004978CF" w:rsidRPr="00D6665E">
        <w:rPr>
          <w:rFonts w:ascii="Times New Roman" w:hAnsi="Times New Roman" w:cs="Times New Roman"/>
          <w:sz w:val="24"/>
          <w:szCs w:val="24"/>
        </w:rPr>
        <w:t xml:space="preserve"> 2016IE1482, del 13 de octubre de 2016,</w:t>
      </w:r>
      <w:r w:rsidRPr="00D6665E">
        <w:rPr>
          <w:rFonts w:ascii="Times New Roman" w:hAnsi="Times New Roman" w:cs="Times New Roman"/>
          <w:sz w:val="24"/>
          <w:szCs w:val="24"/>
        </w:rPr>
        <w:t xml:space="preserve"> a Subdirectores y Asesores de la Entidad para la rendición de cuentas IDT 2016. Anexo 2.</w:t>
      </w:r>
    </w:p>
    <w:p w:rsidR="004978CF" w:rsidRPr="00D6665E" w:rsidRDefault="004978CF" w:rsidP="00B42A80">
      <w:pPr>
        <w:pStyle w:val="Prrafodelista"/>
        <w:numPr>
          <w:ilvl w:val="0"/>
          <w:numId w:val="21"/>
        </w:numPr>
        <w:jc w:val="both"/>
        <w:rPr>
          <w:rFonts w:ascii="Times New Roman" w:hAnsi="Times New Roman" w:cs="Times New Roman"/>
          <w:sz w:val="24"/>
          <w:szCs w:val="24"/>
        </w:rPr>
      </w:pPr>
      <w:r w:rsidRPr="00D6665E">
        <w:rPr>
          <w:rFonts w:ascii="Times New Roman" w:hAnsi="Times New Roman" w:cs="Times New Roman"/>
          <w:sz w:val="24"/>
          <w:szCs w:val="24"/>
        </w:rPr>
        <w:t>Reunión, 20 de octubre de 2016, con las diferentes áreas del Instituto para la coordinación y logística del evento. Anexo 3.</w:t>
      </w:r>
    </w:p>
    <w:p w:rsidR="00B07D5F" w:rsidRPr="00D6665E" w:rsidRDefault="00B07D5F" w:rsidP="00B42A80">
      <w:pPr>
        <w:pStyle w:val="Prrafodelista"/>
        <w:numPr>
          <w:ilvl w:val="0"/>
          <w:numId w:val="21"/>
        </w:numPr>
        <w:jc w:val="both"/>
        <w:rPr>
          <w:rFonts w:ascii="Times New Roman" w:hAnsi="Times New Roman" w:cs="Times New Roman"/>
          <w:sz w:val="24"/>
          <w:szCs w:val="24"/>
        </w:rPr>
      </w:pPr>
      <w:r w:rsidRPr="00D6665E">
        <w:rPr>
          <w:rFonts w:ascii="Times New Roman" w:hAnsi="Times New Roman" w:cs="Times New Roman"/>
          <w:sz w:val="24"/>
          <w:szCs w:val="24"/>
        </w:rPr>
        <w:t>Solicitud de información a las áreas respetivas para la rendición de cuentas IDT 2016.</w:t>
      </w:r>
    </w:p>
    <w:p w:rsidR="004978CF" w:rsidRPr="00D6665E" w:rsidRDefault="004978CF" w:rsidP="00B42A80">
      <w:pPr>
        <w:pStyle w:val="Prrafodelista"/>
        <w:numPr>
          <w:ilvl w:val="0"/>
          <w:numId w:val="21"/>
        </w:numPr>
        <w:jc w:val="both"/>
        <w:rPr>
          <w:rFonts w:ascii="Times New Roman" w:hAnsi="Times New Roman" w:cs="Times New Roman"/>
          <w:sz w:val="24"/>
          <w:szCs w:val="24"/>
        </w:rPr>
      </w:pPr>
      <w:r w:rsidRPr="00D6665E">
        <w:rPr>
          <w:rFonts w:ascii="Times New Roman" w:hAnsi="Times New Roman" w:cs="Times New Roman"/>
          <w:sz w:val="24"/>
          <w:szCs w:val="24"/>
        </w:rPr>
        <w:t>Convocatoria</w:t>
      </w:r>
      <w:r w:rsidR="004027C6" w:rsidRPr="00D6665E">
        <w:rPr>
          <w:rFonts w:ascii="Times New Roman" w:hAnsi="Times New Roman" w:cs="Times New Roman"/>
          <w:sz w:val="24"/>
          <w:szCs w:val="24"/>
        </w:rPr>
        <w:t xml:space="preserve"> y socialización de la Agenda</w:t>
      </w:r>
      <w:r w:rsidRPr="00D6665E">
        <w:rPr>
          <w:rFonts w:ascii="Times New Roman" w:hAnsi="Times New Roman" w:cs="Times New Roman"/>
          <w:sz w:val="24"/>
          <w:szCs w:val="24"/>
        </w:rPr>
        <w:t xml:space="preserve"> por medio digital. Anexo 4.</w:t>
      </w:r>
    </w:p>
    <w:p w:rsidR="004978CF" w:rsidRPr="00D6665E" w:rsidRDefault="004027C6" w:rsidP="00B42A80">
      <w:pPr>
        <w:pStyle w:val="Prrafodelista"/>
        <w:numPr>
          <w:ilvl w:val="0"/>
          <w:numId w:val="21"/>
        </w:numPr>
        <w:jc w:val="both"/>
        <w:rPr>
          <w:rFonts w:ascii="Times New Roman" w:hAnsi="Times New Roman" w:cs="Times New Roman"/>
          <w:sz w:val="24"/>
          <w:szCs w:val="24"/>
        </w:rPr>
      </w:pPr>
      <w:r w:rsidRPr="00D6665E">
        <w:rPr>
          <w:rFonts w:ascii="Times New Roman" w:hAnsi="Times New Roman" w:cs="Times New Roman"/>
          <w:sz w:val="24"/>
          <w:szCs w:val="24"/>
        </w:rPr>
        <w:t xml:space="preserve">Elaboración formato de pregunta </w:t>
      </w:r>
    </w:p>
    <w:p w:rsidR="00CA5CDA" w:rsidRPr="00D6665E" w:rsidRDefault="00B07D5F" w:rsidP="00B42A80">
      <w:pPr>
        <w:jc w:val="center"/>
        <w:rPr>
          <w:rFonts w:ascii="Times New Roman" w:hAnsi="Times New Roman" w:cs="Times New Roman"/>
          <w:sz w:val="24"/>
          <w:szCs w:val="24"/>
        </w:rPr>
      </w:pPr>
      <w:r w:rsidRPr="00D6665E">
        <w:rPr>
          <w:rFonts w:ascii="Times New Roman" w:hAnsi="Times New Roman" w:cs="Times New Roman"/>
          <w:b/>
          <w:sz w:val="24"/>
          <w:szCs w:val="24"/>
        </w:rPr>
        <w:t xml:space="preserve">ACTIVIDADES POSTERIORES </w:t>
      </w:r>
      <w:bookmarkStart w:id="1" w:name="_GoBack"/>
      <w:bookmarkEnd w:id="1"/>
      <w:r w:rsidRPr="00D6665E">
        <w:rPr>
          <w:rFonts w:ascii="Times New Roman" w:hAnsi="Times New Roman" w:cs="Times New Roman"/>
          <w:b/>
          <w:sz w:val="24"/>
          <w:szCs w:val="24"/>
        </w:rPr>
        <w:t>AL EVENTO</w:t>
      </w:r>
    </w:p>
    <w:p w:rsidR="00D75522" w:rsidRPr="00D6665E" w:rsidRDefault="00B07D5F" w:rsidP="00B42A80">
      <w:pPr>
        <w:jc w:val="both"/>
        <w:rPr>
          <w:rFonts w:ascii="Times New Roman" w:hAnsi="Times New Roman" w:cs="Times New Roman"/>
          <w:sz w:val="24"/>
          <w:szCs w:val="24"/>
        </w:rPr>
      </w:pPr>
      <w:r w:rsidRPr="00D6665E">
        <w:rPr>
          <w:rFonts w:ascii="Times New Roman" w:hAnsi="Times New Roman" w:cs="Times New Roman"/>
          <w:sz w:val="24"/>
          <w:szCs w:val="24"/>
        </w:rPr>
        <w:t>Una vez realizada la Rendición de Cuentas IDT 2016 el jueves 15 de Diciembre del mismo año, se realizaron las siguientes actividades:</w:t>
      </w:r>
    </w:p>
    <w:p w:rsidR="00B07D5F" w:rsidRPr="00D6665E" w:rsidRDefault="00B07D5F" w:rsidP="00B42A80">
      <w:pPr>
        <w:pStyle w:val="Prrafodelista"/>
        <w:numPr>
          <w:ilvl w:val="0"/>
          <w:numId w:val="23"/>
        </w:numPr>
        <w:jc w:val="both"/>
        <w:rPr>
          <w:rFonts w:ascii="Times New Roman" w:hAnsi="Times New Roman" w:cs="Times New Roman"/>
          <w:sz w:val="24"/>
          <w:szCs w:val="24"/>
        </w:rPr>
      </w:pPr>
      <w:r w:rsidRPr="00D6665E">
        <w:rPr>
          <w:rFonts w:ascii="Times New Roman" w:hAnsi="Times New Roman" w:cs="Times New Roman"/>
          <w:sz w:val="24"/>
          <w:szCs w:val="24"/>
        </w:rPr>
        <w:t xml:space="preserve">Respuesta a las solicitudes PQRS – Rendición de cuentas recibidas a través del correo electrónico </w:t>
      </w:r>
      <w:hyperlink r:id="rId13" w:history="1">
        <w:r w:rsidRPr="00D6665E">
          <w:rPr>
            <w:rStyle w:val="Hipervnculo"/>
            <w:rFonts w:ascii="Times New Roman" w:hAnsi="Times New Roman" w:cs="Times New Roman"/>
            <w:sz w:val="24"/>
            <w:szCs w:val="24"/>
          </w:rPr>
          <w:t>rendiciondecuentas2016@idt.gov.co</w:t>
        </w:r>
      </w:hyperlink>
      <w:r w:rsidRPr="00D6665E">
        <w:rPr>
          <w:rFonts w:ascii="Times New Roman" w:hAnsi="Times New Roman" w:cs="Times New Roman"/>
          <w:sz w:val="24"/>
          <w:szCs w:val="24"/>
        </w:rPr>
        <w:t xml:space="preserve"> . </w:t>
      </w:r>
    </w:p>
    <w:p w:rsidR="00311149" w:rsidRPr="00D6665E" w:rsidRDefault="004027C6" w:rsidP="00B42A80">
      <w:pPr>
        <w:pStyle w:val="Prrafodelista"/>
        <w:numPr>
          <w:ilvl w:val="0"/>
          <w:numId w:val="23"/>
        </w:numPr>
        <w:jc w:val="both"/>
        <w:rPr>
          <w:rFonts w:ascii="Times New Roman" w:hAnsi="Times New Roman" w:cs="Times New Roman"/>
          <w:sz w:val="24"/>
          <w:szCs w:val="24"/>
        </w:rPr>
      </w:pPr>
      <w:r w:rsidRPr="00D6665E">
        <w:rPr>
          <w:rFonts w:ascii="Times New Roman" w:hAnsi="Times New Roman" w:cs="Times New Roman"/>
          <w:sz w:val="24"/>
          <w:szCs w:val="24"/>
        </w:rPr>
        <w:t>Envío de memorando número 2016IE1865, del 20 de diciembre de 2016, para el Jefe de la Oficina Jurídica del IDT sobre preguntas de rendición de cuentas.</w:t>
      </w:r>
    </w:p>
    <w:p w:rsidR="00A55364" w:rsidRPr="00D6665E" w:rsidRDefault="00311149" w:rsidP="00B42A80">
      <w:pPr>
        <w:pStyle w:val="Prrafodelista"/>
        <w:numPr>
          <w:ilvl w:val="0"/>
          <w:numId w:val="23"/>
        </w:numPr>
        <w:jc w:val="both"/>
        <w:rPr>
          <w:rFonts w:ascii="Times New Roman" w:hAnsi="Times New Roman" w:cs="Times New Roman"/>
          <w:sz w:val="24"/>
          <w:szCs w:val="24"/>
        </w:rPr>
      </w:pPr>
      <w:r w:rsidRPr="00D6665E">
        <w:rPr>
          <w:rFonts w:ascii="Times New Roman" w:hAnsi="Times New Roman" w:cs="Times New Roman"/>
          <w:sz w:val="24"/>
          <w:szCs w:val="24"/>
        </w:rPr>
        <w:t>Tabulación de la encuesta de satisfacción de la Rendición de Cuentas IDT 2016.</w:t>
      </w:r>
      <w:r w:rsidR="004027C6" w:rsidRPr="00D6665E">
        <w:rPr>
          <w:rFonts w:ascii="Times New Roman" w:hAnsi="Times New Roman" w:cs="Times New Roman"/>
          <w:sz w:val="24"/>
          <w:szCs w:val="24"/>
        </w:rPr>
        <w:t xml:space="preserve"> </w:t>
      </w: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Pr="00D6665E" w:rsidRDefault="00A55364" w:rsidP="00A55364">
      <w:pPr>
        <w:jc w:val="both"/>
        <w:rPr>
          <w:rFonts w:ascii="Times New Roman" w:hAnsi="Times New Roman" w:cs="Times New Roman"/>
          <w:sz w:val="24"/>
          <w:szCs w:val="24"/>
        </w:rPr>
      </w:pPr>
    </w:p>
    <w:p w:rsidR="00A55364" w:rsidRDefault="00A55364" w:rsidP="00A55364">
      <w:pPr>
        <w:jc w:val="both"/>
        <w:rPr>
          <w:rFonts w:ascii="Times New Roman" w:hAnsi="Times New Roman" w:cs="Times New Roman"/>
          <w:sz w:val="24"/>
          <w:szCs w:val="24"/>
        </w:rPr>
      </w:pPr>
    </w:p>
    <w:p w:rsidR="00A55364" w:rsidRDefault="00A55364" w:rsidP="00A55364">
      <w:pPr>
        <w:jc w:val="both"/>
        <w:rPr>
          <w:rFonts w:ascii="Times New Roman" w:hAnsi="Times New Roman" w:cs="Times New Roman"/>
          <w:sz w:val="24"/>
          <w:szCs w:val="24"/>
        </w:rPr>
      </w:pPr>
    </w:p>
    <w:p w:rsidR="004027C6" w:rsidRPr="00A55364" w:rsidRDefault="004027C6" w:rsidP="00A55364">
      <w:pPr>
        <w:jc w:val="both"/>
        <w:rPr>
          <w:rFonts w:ascii="Times New Roman" w:hAnsi="Times New Roman" w:cs="Times New Roman"/>
          <w:sz w:val="24"/>
          <w:szCs w:val="24"/>
        </w:rPr>
      </w:pPr>
      <w:r w:rsidRPr="00A55364">
        <w:rPr>
          <w:rFonts w:ascii="Times New Roman" w:hAnsi="Times New Roman" w:cs="Times New Roman"/>
          <w:sz w:val="24"/>
          <w:szCs w:val="24"/>
        </w:rPr>
        <w:t xml:space="preserve"> </w:t>
      </w:r>
    </w:p>
    <w:p w:rsidR="00D75522" w:rsidRPr="009C7B19" w:rsidRDefault="00D75522" w:rsidP="008D1ACE">
      <w:pPr>
        <w:jc w:val="center"/>
        <w:rPr>
          <w:rFonts w:ascii="Times New Roman" w:hAnsi="Times New Roman" w:cs="Times New Roman"/>
          <w:b/>
          <w:sz w:val="24"/>
          <w:szCs w:val="24"/>
        </w:rPr>
      </w:pPr>
      <w:r w:rsidRPr="009C7B19">
        <w:rPr>
          <w:rFonts w:ascii="Times New Roman" w:hAnsi="Times New Roman" w:cs="Times New Roman"/>
          <w:b/>
          <w:sz w:val="24"/>
          <w:szCs w:val="24"/>
        </w:rPr>
        <w:t>ANEXOS</w:t>
      </w:r>
    </w:p>
    <w:p w:rsidR="00D75522" w:rsidRPr="009C7B19" w:rsidRDefault="008D1ACE" w:rsidP="00D75522">
      <w:pPr>
        <w:rPr>
          <w:rFonts w:ascii="Times New Roman" w:hAnsi="Times New Roman" w:cs="Times New Roman"/>
          <w:sz w:val="24"/>
          <w:szCs w:val="24"/>
        </w:rPr>
      </w:pPr>
      <w:r w:rsidRPr="009C7B19">
        <w:rPr>
          <w:rFonts w:ascii="Times New Roman" w:hAnsi="Times New Roman" w:cs="Times New Roman"/>
          <w:sz w:val="24"/>
          <w:szCs w:val="24"/>
        </w:rPr>
        <w:t>Anexo 1: Listado</w:t>
      </w:r>
      <w:r w:rsidR="00BF0725" w:rsidRPr="009C7B19">
        <w:rPr>
          <w:rFonts w:ascii="Times New Roman" w:hAnsi="Times New Roman" w:cs="Times New Roman"/>
          <w:sz w:val="24"/>
          <w:szCs w:val="24"/>
        </w:rPr>
        <w:t>s</w:t>
      </w:r>
      <w:r w:rsidRPr="009C7B19">
        <w:rPr>
          <w:rFonts w:ascii="Times New Roman" w:hAnsi="Times New Roman" w:cs="Times New Roman"/>
          <w:sz w:val="24"/>
          <w:szCs w:val="24"/>
        </w:rPr>
        <w:t xml:space="preserve"> de asistencia</w:t>
      </w:r>
      <w:r w:rsidR="005321CF">
        <w:rPr>
          <w:rFonts w:ascii="Times New Roman" w:hAnsi="Times New Roman" w:cs="Times New Roman"/>
          <w:sz w:val="24"/>
          <w:szCs w:val="24"/>
        </w:rPr>
        <w:t xml:space="preserve"> Rendición de Cuentas IDT 2016.</w:t>
      </w:r>
    </w:p>
    <w:p w:rsidR="008D1ACE" w:rsidRPr="009C7B19" w:rsidRDefault="008D1ACE" w:rsidP="00D75522">
      <w:pPr>
        <w:rPr>
          <w:rFonts w:ascii="Times New Roman" w:hAnsi="Times New Roman" w:cs="Times New Roman"/>
          <w:sz w:val="24"/>
          <w:szCs w:val="24"/>
        </w:rPr>
      </w:pPr>
      <w:r w:rsidRPr="009C7B19">
        <w:rPr>
          <w:rFonts w:ascii="Times New Roman" w:hAnsi="Times New Roman" w:cs="Times New Roman"/>
          <w:noProof/>
          <w:sz w:val="24"/>
          <w:szCs w:val="24"/>
          <w:lang w:val="es-ES" w:eastAsia="es-ES"/>
        </w:rPr>
        <w:drawing>
          <wp:inline distT="0" distB="0" distL="0" distR="0">
            <wp:extent cx="5612130" cy="4390933"/>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4390933"/>
                    </a:xfrm>
                    <a:prstGeom prst="rect">
                      <a:avLst/>
                    </a:prstGeom>
                    <a:noFill/>
                    <a:ln>
                      <a:noFill/>
                    </a:ln>
                  </pic:spPr>
                </pic:pic>
              </a:graphicData>
            </a:graphic>
          </wp:inline>
        </w:drawing>
      </w:r>
    </w:p>
    <w:p w:rsidR="008D1ACE" w:rsidRPr="009C7B19" w:rsidRDefault="008D1ACE" w:rsidP="00D75522">
      <w:pPr>
        <w:rPr>
          <w:rFonts w:ascii="Times New Roman" w:hAnsi="Times New Roman" w:cs="Times New Roman"/>
          <w:sz w:val="24"/>
          <w:szCs w:val="24"/>
        </w:rPr>
      </w:pPr>
      <w:r w:rsidRPr="009C7B19">
        <w:rPr>
          <w:rFonts w:ascii="Times New Roman" w:hAnsi="Times New Roman" w:cs="Times New Roman"/>
          <w:noProof/>
          <w:sz w:val="24"/>
          <w:szCs w:val="24"/>
          <w:lang w:val="es-ES" w:eastAsia="es-ES"/>
        </w:rPr>
        <w:lastRenderedPageBreak/>
        <w:drawing>
          <wp:inline distT="0" distB="0" distL="0" distR="0">
            <wp:extent cx="5612130" cy="4390933"/>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4390933"/>
                    </a:xfrm>
                    <a:prstGeom prst="rect">
                      <a:avLst/>
                    </a:prstGeom>
                    <a:noFill/>
                    <a:ln>
                      <a:noFill/>
                    </a:ln>
                  </pic:spPr>
                </pic:pic>
              </a:graphicData>
            </a:graphic>
          </wp:inline>
        </w:drawing>
      </w:r>
    </w:p>
    <w:p w:rsidR="008D1ACE" w:rsidRPr="009C7B19" w:rsidRDefault="008D1ACE" w:rsidP="00D75522">
      <w:pPr>
        <w:rPr>
          <w:rFonts w:ascii="Times New Roman" w:hAnsi="Times New Roman" w:cs="Times New Roman"/>
          <w:sz w:val="24"/>
          <w:szCs w:val="24"/>
        </w:rPr>
      </w:pPr>
      <w:r w:rsidRPr="009C7B19">
        <w:rPr>
          <w:rFonts w:ascii="Times New Roman" w:hAnsi="Times New Roman" w:cs="Times New Roman"/>
          <w:noProof/>
          <w:sz w:val="24"/>
          <w:szCs w:val="24"/>
          <w:lang w:val="es-ES" w:eastAsia="es-ES"/>
        </w:rPr>
        <w:lastRenderedPageBreak/>
        <w:drawing>
          <wp:inline distT="0" distB="0" distL="0" distR="0">
            <wp:extent cx="5612130" cy="4390933"/>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4390933"/>
                    </a:xfrm>
                    <a:prstGeom prst="rect">
                      <a:avLst/>
                    </a:prstGeom>
                    <a:noFill/>
                    <a:ln>
                      <a:noFill/>
                    </a:ln>
                  </pic:spPr>
                </pic:pic>
              </a:graphicData>
            </a:graphic>
          </wp:inline>
        </w:drawing>
      </w:r>
    </w:p>
    <w:p w:rsidR="008D1ACE" w:rsidRPr="009C7B19" w:rsidRDefault="008D1ACE" w:rsidP="00D75522">
      <w:pPr>
        <w:rPr>
          <w:rFonts w:ascii="Times New Roman" w:hAnsi="Times New Roman" w:cs="Times New Roman"/>
          <w:sz w:val="24"/>
          <w:szCs w:val="24"/>
        </w:rPr>
      </w:pPr>
      <w:r w:rsidRPr="009C7B19">
        <w:rPr>
          <w:rFonts w:ascii="Times New Roman" w:hAnsi="Times New Roman" w:cs="Times New Roman"/>
          <w:noProof/>
          <w:sz w:val="24"/>
          <w:szCs w:val="24"/>
          <w:lang w:val="es-ES" w:eastAsia="es-ES"/>
        </w:rPr>
        <w:lastRenderedPageBreak/>
        <w:drawing>
          <wp:inline distT="0" distB="0" distL="0" distR="0">
            <wp:extent cx="5612130" cy="4390933"/>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4390933"/>
                    </a:xfrm>
                    <a:prstGeom prst="rect">
                      <a:avLst/>
                    </a:prstGeom>
                    <a:noFill/>
                    <a:ln>
                      <a:noFill/>
                    </a:ln>
                  </pic:spPr>
                </pic:pic>
              </a:graphicData>
            </a:graphic>
          </wp:inline>
        </w:drawing>
      </w:r>
    </w:p>
    <w:p w:rsidR="008D1ACE" w:rsidRPr="009C7B19" w:rsidRDefault="008D1ACE" w:rsidP="00D75522">
      <w:pPr>
        <w:rPr>
          <w:rFonts w:ascii="Times New Roman" w:hAnsi="Times New Roman" w:cs="Times New Roman"/>
          <w:sz w:val="24"/>
          <w:szCs w:val="24"/>
        </w:rPr>
      </w:pPr>
      <w:r w:rsidRPr="009C7B19">
        <w:rPr>
          <w:rFonts w:ascii="Times New Roman" w:hAnsi="Times New Roman" w:cs="Times New Roman"/>
          <w:noProof/>
          <w:sz w:val="24"/>
          <w:szCs w:val="24"/>
          <w:lang w:val="es-ES" w:eastAsia="es-ES"/>
        </w:rPr>
        <w:lastRenderedPageBreak/>
        <w:drawing>
          <wp:inline distT="0" distB="0" distL="0" distR="0">
            <wp:extent cx="5612130" cy="4375751"/>
            <wp:effectExtent l="0" t="0" r="762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4375751"/>
                    </a:xfrm>
                    <a:prstGeom prst="rect">
                      <a:avLst/>
                    </a:prstGeom>
                    <a:noFill/>
                    <a:ln>
                      <a:noFill/>
                    </a:ln>
                  </pic:spPr>
                </pic:pic>
              </a:graphicData>
            </a:graphic>
          </wp:inline>
        </w:drawing>
      </w:r>
    </w:p>
    <w:p w:rsidR="00523DF0" w:rsidRDefault="00523DF0" w:rsidP="00D75522">
      <w:pPr>
        <w:rPr>
          <w:rFonts w:ascii="Times New Roman" w:hAnsi="Times New Roman" w:cs="Times New Roman"/>
          <w:sz w:val="24"/>
          <w:szCs w:val="24"/>
        </w:rPr>
      </w:pPr>
    </w:p>
    <w:p w:rsidR="00523DF0" w:rsidRDefault="005321CF" w:rsidP="00D75522">
      <w:pPr>
        <w:rPr>
          <w:rFonts w:ascii="Times New Roman" w:hAnsi="Times New Roman" w:cs="Times New Roman"/>
          <w:sz w:val="24"/>
          <w:szCs w:val="24"/>
        </w:rPr>
      </w:pPr>
      <w:r>
        <w:rPr>
          <w:rFonts w:ascii="Times New Roman" w:hAnsi="Times New Roman" w:cs="Times New Roman"/>
          <w:sz w:val="24"/>
          <w:szCs w:val="24"/>
        </w:rPr>
        <w:t xml:space="preserve">Anexo 2: Acciones previas al evento, </w:t>
      </w:r>
    </w:p>
    <w:p w:rsidR="005321CF" w:rsidRDefault="0084184F" w:rsidP="00D75522">
      <w:pPr>
        <w:rPr>
          <w:rFonts w:ascii="Times New Roman" w:hAnsi="Times New Roman" w:cs="Times New Roman"/>
          <w:sz w:val="24"/>
          <w:szCs w:val="24"/>
        </w:rPr>
      </w:pPr>
      <w:r>
        <w:rPr>
          <w:rFonts w:ascii="Times New Roman" w:hAnsi="Times New Roman" w:cs="Times New Roman"/>
          <w:sz w:val="24"/>
          <w:szCs w:val="24"/>
        </w:rPr>
        <w:t>Elaboración de m</w:t>
      </w:r>
      <w:r w:rsidR="005321CF">
        <w:rPr>
          <w:rFonts w:ascii="Times New Roman" w:hAnsi="Times New Roman" w:cs="Times New Roman"/>
          <w:sz w:val="24"/>
          <w:szCs w:val="24"/>
        </w:rPr>
        <w:t>emora</w:t>
      </w:r>
      <w:r>
        <w:rPr>
          <w:rFonts w:ascii="Times New Roman" w:hAnsi="Times New Roman" w:cs="Times New Roman"/>
          <w:sz w:val="24"/>
          <w:szCs w:val="24"/>
        </w:rPr>
        <w:t xml:space="preserve">ndo con radicado </w:t>
      </w:r>
      <w:r w:rsidR="00457478">
        <w:rPr>
          <w:rFonts w:ascii="Times New Roman" w:hAnsi="Times New Roman" w:cs="Times New Roman"/>
          <w:sz w:val="24"/>
          <w:szCs w:val="24"/>
        </w:rPr>
        <w:t xml:space="preserve">No. </w:t>
      </w:r>
      <w:r>
        <w:rPr>
          <w:rFonts w:ascii="Times New Roman" w:hAnsi="Times New Roman" w:cs="Times New Roman"/>
          <w:sz w:val="24"/>
          <w:szCs w:val="24"/>
        </w:rPr>
        <w:t xml:space="preserve">2016IE1482, </w:t>
      </w:r>
      <w:r w:rsidR="00523DF0">
        <w:rPr>
          <w:rFonts w:ascii="Times New Roman" w:hAnsi="Times New Roman" w:cs="Times New Roman"/>
          <w:sz w:val="24"/>
          <w:szCs w:val="24"/>
        </w:rPr>
        <w:t xml:space="preserve">donde se definen las actividades y responsabilidades </w:t>
      </w:r>
      <w:r>
        <w:rPr>
          <w:rFonts w:ascii="Times New Roman" w:hAnsi="Times New Roman" w:cs="Times New Roman"/>
          <w:sz w:val="24"/>
          <w:szCs w:val="24"/>
        </w:rPr>
        <w:t>del ejercicio del ejercicio de rendición de cuentas del cual se adjunta.</w:t>
      </w:r>
    </w:p>
    <w:p w:rsidR="005321CF" w:rsidRDefault="005321CF" w:rsidP="00D75522">
      <w:pPr>
        <w:rPr>
          <w:rFonts w:ascii="Times New Roman" w:hAnsi="Times New Roman" w:cs="Times New Roman"/>
          <w:sz w:val="24"/>
          <w:szCs w:val="24"/>
        </w:rPr>
      </w:pPr>
    </w:p>
    <w:p w:rsidR="005321CF" w:rsidRDefault="005321CF" w:rsidP="00D75522">
      <w:pPr>
        <w:rPr>
          <w:rFonts w:ascii="Times New Roman" w:hAnsi="Times New Roman" w:cs="Times New Roman"/>
          <w:sz w:val="24"/>
          <w:szCs w:val="24"/>
        </w:rPr>
      </w:pPr>
      <w:r w:rsidRPr="00252487">
        <w:rPr>
          <w:rFonts w:ascii="Times New Roman" w:hAnsi="Times New Roman"/>
          <w:noProof/>
          <w:lang w:val="es-ES" w:eastAsia="es-ES"/>
        </w:rPr>
        <w:lastRenderedPageBreak/>
        <w:drawing>
          <wp:inline distT="0" distB="0" distL="0" distR="0">
            <wp:extent cx="5438775" cy="6984823"/>
            <wp:effectExtent l="0" t="0" r="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5771" t="13282" r="60793" b="10344"/>
                    <a:stretch/>
                  </pic:blipFill>
                  <pic:spPr bwMode="auto">
                    <a:xfrm>
                      <a:off x="0" y="0"/>
                      <a:ext cx="5456309" cy="700734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21CF" w:rsidRDefault="005321CF" w:rsidP="00D75522">
      <w:pPr>
        <w:rPr>
          <w:rFonts w:ascii="Times New Roman" w:hAnsi="Times New Roman" w:cs="Times New Roman"/>
          <w:sz w:val="24"/>
          <w:szCs w:val="24"/>
        </w:rPr>
      </w:pPr>
      <w:r w:rsidRPr="00252487">
        <w:rPr>
          <w:rFonts w:ascii="Times New Roman" w:hAnsi="Times New Roman"/>
          <w:noProof/>
          <w:lang w:val="es-ES" w:eastAsia="es-ES"/>
        </w:rPr>
        <w:lastRenderedPageBreak/>
        <w:drawing>
          <wp:inline distT="0" distB="0" distL="0" distR="0">
            <wp:extent cx="5572125" cy="707122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5600" t="13282" r="60964" b="11250"/>
                    <a:stretch/>
                  </pic:blipFill>
                  <pic:spPr bwMode="auto">
                    <a:xfrm>
                      <a:off x="0" y="0"/>
                      <a:ext cx="5584341" cy="708672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21CF" w:rsidRDefault="005321CF" w:rsidP="00D75522">
      <w:pPr>
        <w:rPr>
          <w:rFonts w:ascii="Times New Roman" w:hAnsi="Times New Roman" w:cs="Times New Roman"/>
          <w:sz w:val="24"/>
          <w:szCs w:val="24"/>
        </w:rPr>
      </w:pPr>
      <w:r w:rsidRPr="00252487">
        <w:rPr>
          <w:rFonts w:ascii="Times New Roman" w:hAnsi="Times New Roman"/>
          <w:noProof/>
          <w:lang w:val="es-ES" w:eastAsia="es-ES"/>
        </w:rPr>
        <w:lastRenderedPageBreak/>
        <w:drawing>
          <wp:inline distT="0" distB="0" distL="0" distR="0">
            <wp:extent cx="5534025" cy="703572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5432" t="12679" r="60793" b="10948"/>
                    <a:stretch/>
                  </pic:blipFill>
                  <pic:spPr bwMode="auto">
                    <a:xfrm>
                      <a:off x="0" y="0"/>
                      <a:ext cx="5542625" cy="704665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21CF" w:rsidRDefault="005321CF" w:rsidP="00D75522">
      <w:pPr>
        <w:rPr>
          <w:rFonts w:ascii="Times New Roman" w:hAnsi="Times New Roman" w:cs="Times New Roman"/>
          <w:sz w:val="24"/>
          <w:szCs w:val="24"/>
        </w:rPr>
      </w:pPr>
      <w:r w:rsidRPr="00252487">
        <w:rPr>
          <w:rFonts w:ascii="Times New Roman" w:hAnsi="Times New Roman"/>
          <w:noProof/>
          <w:lang w:val="es-ES" w:eastAsia="es-ES"/>
        </w:rPr>
        <w:lastRenderedPageBreak/>
        <w:drawing>
          <wp:inline distT="0" distB="0" distL="0" distR="0">
            <wp:extent cx="5553075" cy="7196332"/>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5601" t="12074" r="61134" b="11251"/>
                    <a:stretch/>
                  </pic:blipFill>
                  <pic:spPr bwMode="auto">
                    <a:xfrm>
                      <a:off x="0" y="0"/>
                      <a:ext cx="5566612" cy="721387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21CF" w:rsidRDefault="005321CF" w:rsidP="00D75522">
      <w:pPr>
        <w:rPr>
          <w:rFonts w:ascii="Times New Roman" w:hAnsi="Times New Roman" w:cs="Times New Roman"/>
          <w:sz w:val="24"/>
          <w:szCs w:val="24"/>
        </w:rPr>
      </w:pPr>
      <w:r w:rsidRPr="00252487">
        <w:rPr>
          <w:rFonts w:ascii="Times New Roman" w:hAnsi="Times New Roman"/>
          <w:noProof/>
          <w:lang w:val="es-ES" w:eastAsia="es-ES"/>
        </w:rPr>
        <w:lastRenderedPageBreak/>
        <w:drawing>
          <wp:inline distT="0" distB="0" distL="0" distR="0">
            <wp:extent cx="5553075" cy="7159802"/>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5601" t="12980" r="60963" b="10344"/>
                    <a:stretch/>
                  </pic:blipFill>
                  <pic:spPr bwMode="auto">
                    <a:xfrm>
                      <a:off x="0" y="0"/>
                      <a:ext cx="5564302" cy="717427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978CF" w:rsidRDefault="004978CF" w:rsidP="00D75522">
      <w:pPr>
        <w:rPr>
          <w:rFonts w:ascii="Times New Roman" w:hAnsi="Times New Roman" w:cs="Times New Roman"/>
          <w:sz w:val="24"/>
          <w:szCs w:val="24"/>
        </w:rPr>
      </w:pPr>
      <w:r>
        <w:rPr>
          <w:rFonts w:ascii="Times New Roman" w:hAnsi="Times New Roman" w:cs="Times New Roman"/>
          <w:sz w:val="24"/>
          <w:szCs w:val="24"/>
        </w:rPr>
        <w:t>Anexo 3: Listado de asistencia de reunión</w:t>
      </w:r>
    </w:p>
    <w:p w:rsidR="004978CF" w:rsidRDefault="004978CF" w:rsidP="00D75522">
      <w:pPr>
        <w:rPr>
          <w:rFonts w:ascii="Times New Roman" w:hAnsi="Times New Roman" w:cs="Times New Roman"/>
          <w:sz w:val="24"/>
          <w:szCs w:val="24"/>
        </w:rPr>
      </w:pPr>
    </w:p>
    <w:p w:rsidR="004978CF" w:rsidRDefault="004978CF" w:rsidP="00D75522">
      <w:pPr>
        <w:rPr>
          <w:rFonts w:ascii="Times New Roman" w:hAnsi="Times New Roman" w:cs="Times New Roman"/>
          <w:sz w:val="24"/>
          <w:szCs w:val="24"/>
        </w:rPr>
      </w:pPr>
      <w:r w:rsidRPr="00252487">
        <w:rPr>
          <w:rFonts w:ascii="Times New Roman" w:hAnsi="Times New Roman"/>
          <w:noProof/>
          <w:lang w:val="es-ES" w:eastAsia="es-ES"/>
        </w:rPr>
        <w:lastRenderedPageBreak/>
        <w:drawing>
          <wp:inline distT="0" distB="0" distL="0" distR="0">
            <wp:extent cx="5612130" cy="4250055"/>
            <wp:effectExtent l="0" t="0" r="7620" b="0"/>
            <wp:docPr id="6" name="Imagen 6" descr="C:\Users\rvaron\Downloads\FullSizeRender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varon\Downloads\FullSizeRender (10).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4250055"/>
                    </a:xfrm>
                    <a:prstGeom prst="rect">
                      <a:avLst/>
                    </a:prstGeom>
                    <a:noFill/>
                    <a:ln>
                      <a:noFill/>
                    </a:ln>
                  </pic:spPr>
                </pic:pic>
              </a:graphicData>
            </a:graphic>
          </wp:inline>
        </w:drawing>
      </w: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84184F" w:rsidRDefault="0084184F" w:rsidP="00D75522">
      <w:pPr>
        <w:rPr>
          <w:rFonts w:ascii="Times New Roman" w:hAnsi="Times New Roman" w:cs="Times New Roman"/>
          <w:sz w:val="24"/>
          <w:szCs w:val="24"/>
        </w:rPr>
      </w:pPr>
    </w:p>
    <w:p w:rsidR="004978CF" w:rsidRDefault="0084184F" w:rsidP="00D75522">
      <w:pPr>
        <w:rPr>
          <w:rFonts w:ascii="Times New Roman" w:hAnsi="Times New Roman" w:cs="Times New Roman"/>
          <w:sz w:val="24"/>
          <w:szCs w:val="24"/>
        </w:rPr>
      </w:pPr>
      <w:r>
        <w:rPr>
          <w:rFonts w:ascii="Times New Roman" w:hAnsi="Times New Roman" w:cs="Times New Roman"/>
          <w:sz w:val="24"/>
          <w:szCs w:val="24"/>
        </w:rPr>
        <w:t>Anexo 4: Convocatoria.</w:t>
      </w:r>
    </w:p>
    <w:p w:rsidR="0084184F" w:rsidRDefault="0084184F" w:rsidP="00D75522">
      <w:pPr>
        <w:rPr>
          <w:rFonts w:ascii="Times New Roman" w:hAnsi="Times New Roman" w:cs="Times New Roman"/>
          <w:sz w:val="24"/>
          <w:szCs w:val="24"/>
        </w:rPr>
      </w:pPr>
      <w:r>
        <w:rPr>
          <w:rFonts w:ascii="Times New Roman" w:hAnsi="Times New Roman" w:cs="Times New Roman"/>
          <w:sz w:val="24"/>
          <w:szCs w:val="24"/>
        </w:rPr>
        <w:t>Esta fue publicada en la página WEB de la entidad el día, así mismo, la inform</w:t>
      </w:r>
      <w:r w:rsidR="00D6665E">
        <w:rPr>
          <w:rFonts w:ascii="Times New Roman" w:hAnsi="Times New Roman" w:cs="Times New Roman"/>
          <w:sz w:val="24"/>
          <w:szCs w:val="24"/>
        </w:rPr>
        <w:t>ación se difundió por los diferentes medios de comunicación.</w:t>
      </w:r>
    </w:p>
    <w:p w:rsidR="0084184F" w:rsidRDefault="0084184F" w:rsidP="00D75522">
      <w:pPr>
        <w:rPr>
          <w:rFonts w:ascii="Times New Roman" w:hAnsi="Times New Roman" w:cs="Times New Roman"/>
          <w:sz w:val="24"/>
          <w:szCs w:val="24"/>
        </w:rPr>
      </w:pPr>
    </w:p>
    <w:p w:rsidR="004027C6" w:rsidRDefault="004027C6" w:rsidP="00D75522">
      <w:pPr>
        <w:rPr>
          <w:rFonts w:ascii="Times New Roman" w:hAnsi="Times New Roman" w:cs="Times New Roman"/>
          <w:sz w:val="24"/>
          <w:szCs w:val="24"/>
        </w:rPr>
      </w:pPr>
      <w:r>
        <w:rPr>
          <w:noProof/>
          <w:lang w:val="es-ES" w:eastAsia="es-ES"/>
        </w:rPr>
        <w:drawing>
          <wp:inline distT="0" distB="0" distL="0" distR="0">
            <wp:extent cx="5400040" cy="4320032"/>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5400040" cy="4320032"/>
                    </a:xfrm>
                    <a:prstGeom prst="rect">
                      <a:avLst/>
                    </a:prstGeom>
                    <a:noFill/>
                    <a:ln w="9525">
                      <a:noFill/>
                      <a:miter lim="800000"/>
                      <a:headEnd/>
                      <a:tailEnd/>
                    </a:ln>
                  </pic:spPr>
                </pic:pic>
              </a:graphicData>
            </a:graphic>
          </wp:inline>
        </w:drawing>
      </w:r>
    </w:p>
    <w:p w:rsidR="004027C6" w:rsidRDefault="004027C6" w:rsidP="00D75522">
      <w:pPr>
        <w:rPr>
          <w:rFonts w:ascii="Times New Roman" w:hAnsi="Times New Roman" w:cs="Times New Roman"/>
          <w:sz w:val="24"/>
          <w:szCs w:val="24"/>
        </w:rPr>
      </w:pPr>
      <w:r>
        <w:rPr>
          <w:noProof/>
          <w:lang w:val="es-ES" w:eastAsia="es-ES"/>
        </w:rPr>
        <w:lastRenderedPageBreak/>
        <w:drawing>
          <wp:inline distT="0" distB="0" distL="0" distR="0">
            <wp:extent cx="5400040" cy="4321551"/>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400040" cy="4321551"/>
                    </a:xfrm>
                    <a:prstGeom prst="rect">
                      <a:avLst/>
                    </a:prstGeom>
                    <a:noFill/>
                    <a:ln w="9525">
                      <a:noFill/>
                      <a:miter lim="800000"/>
                      <a:headEnd/>
                      <a:tailEnd/>
                    </a:ln>
                  </pic:spPr>
                </pic:pic>
              </a:graphicData>
            </a:graphic>
          </wp:inline>
        </w:drawing>
      </w:r>
    </w:p>
    <w:p w:rsidR="004027C6" w:rsidRDefault="004027C6" w:rsidP="00D75522">
      <w:pPr>
        <w:rPr>
          <w:rFonts w:ascii="Times New Roman" w:hAnsi="Times New Roman" w:cs="Times New Roman"/>
          <w:sz w:val="24"/>
          <w:szCs w:val="24"/>
        </w:rPr>
      </w:pPr>
      <w:r>
        <w:rPr>
          <w:noProof/>
          <w:lang w:val="es-ES" w:eastAsia="es-ES"/>
        </w:rPr>
        <w:lastRenderedPageBreak/>
        <w:drawing>
          <wp:inline distT="0" distB="0" distL="0" distR="0">
            <wp:extent cx="5400040" cy="4321551"/>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5400040" cy="4321551"/>
                    </a:xfrm>
                    <a:prstGeom prst="rect">
                      <a:avLst/>
                    </a:prstGeom>
                    <a:noFill/>
                    <a:ln w="9525">
                      <a:noFill/>
                      <a:miter lim="800000"/>
                      <a:headEnd/>
                      <a:tailEnd/>
                    </a:ln>
                  </pic:spPr>
                </pic:pic>
              </a:graphicData>
            </a:graphic>
          </wp:inline>
        </w:drawing>
      </w:r>
    </w:p>
    <w:p w:rsidR="004027C6" w:rsidRDefault="004027C6" w:rsidP="00D75522">
      <w:pPr>
        <w:rPr>
          <w:rFonts w:ascii="Times New Roman" w:hAnsi="Times New Roman" w:cs="Times New Roman"/>
          <w:sz w:val="24"/>
          <w:szCs w:val="24"/>
        </w:rPr>
      </w:pPr>
    </w:p>
    <w:p w:rsidR="004978CF" w:rsidRPr="009C7B19" w:rsidRDefault="004978CF" w:rsidP="00D75522">
      <w:pP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extent cx="3508491" cy="2709081"/>
            <wp:effectExtent l="0" t="0" r="0" b="0"/>
            <wp:docPr id="29" name="Imagen 29" descr="F:\Informe rendicion de cuentas 2016\Documentos\convocatoria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nforme rendicion de cuentas 2016\Documentos\convocatoria_2016.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8686" cy="2709231"/>
                    </a:xfrm>
                    <a:prstGeom prst="rect">
                      <a:avLst/>
                    </a:prstGeom>
                    <a:noFill/>
                    <a:ln>
                      <a:noFill/>
                    </a:ln>
                  </pic:spPr>
                </pic:pic>
              </a:graphicData>
            </a:graphic>
          </wp:inline>
        </w:drawing>
      </w:r>
    </w:p>
    <w:p w:rsidR="00D75522" w:rsidRPr="009C7B19" w:rsidRDefault="00D75522" w:rsidP="00D75522">
      <w:pPr>
        <w:rPr>
          <w:rFonts w:ascii="Times New Roman" w:hAnsi="Times New Roman" w:cs="Times New Roman"/>
          <w:sz w:val="24"/>
          <w:szCs w:val="24"/>
        </w:rPr>
      </w:pPr>
    </w:p>
    <w:p w:rsidR="00D75522" w:rsidRPr="009C7B19" w:rsidRDefault="00D75522" w:rsidP="00D75522">
      <w:pPr>
        <w:rPr>
          <w:rFonts w:ascii="Times New Roman" w:hAnsi="Times New Roman" w:cs="Times New Roman"/>
          <w:sz w:val="24"/>
          <w:szCs w:val="24"/>
        </w:rPr>
      </w:pPr>
    </w:p>
    <w:p w:rsidR="004027C6" w:rsidRDefault="004027C6" w:rsidP="00D75522">
      <w:pPr>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w:drawing>
          <wp:inline distT="0" distB="0" distL="0" distR="0">
            <wp:extent cx="5612130" cy="7207632"/>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7207632"/>
                    </a:xfrm>
                    <a:prstGeom prst="rect">
                      <a:avLst/>
                    </a:prstGeom>
                    <a:noFill/>
                    <a:ln>
                      <a:noFill/>
                    </a:ln>
                  </pic:spPr>
                </pic:pic>
              </a:graphicData>
            </a:graphic>
          </wp:inline>
        </w:drawing>
      </w:r>
    </w:p>
    <w:p w:rsidR="004027C6" w:rsidRPr="009C7B19" w:rsidRDefault="004027C6" w:rsidP="00D75522">
      <w:pPr>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w:drawing>
          <wp:inline distT="0" distB="0" distL="0" distR="0">
            <wp:extent cx="5612130" cy="7223476"/>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7223476"/>
                    </a:xfrm>
                    <a:prstGeom prst="rect">
                      <a:avLst/>
                    </a:prstGeom>
                    <a:noFill/>
                    <a:ln>
                      <a:noFill/>
                    </a:ln>
                  </pic:spPr>
                </pic:pic>
              </a:graphicData>
            </a:graphic>
          </wp:inline>
        </w:drawing>
      </w:r>
    </w:p>
    <w:sectPr w:rsidR="004027C6" w:rsidRPr="009C7B19" w:rsidSect="000813B8">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84E83" w:rsidRDefault="00084E83" w:rsidP="009C7B19">
      <w:pPr>
        <w:spacing w:after="0" w:line="240" w:lineRule="auto"/>
      </w:pPr>
      <w:r>
        <w:separator/>
      </w:r>
    </w:p>
  </w:endnote>
  <w:endnote w:type="continuationSeparator" w:id="0">
    <w:p w:rsidR="00084E83" w:rsidRDefault="00084E83" w:rsidP="009C7B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libri Light">
    <w:altName w:val="Calibri"/>
    <w:charset w:val="00"/>
    <w:family w:val="swiss"/>
    <w:pitch w:val="variable"/>
    <w:sig w:usb0="00000001"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84E83" w:rsidRDefault="00084E83" w:rsidP="009C7B19">
      <w:pPr>
        <w:spacing w:after="0" w:line="240" w:lineRule="auto"/>
      </w:pPr>
      <w:r>
        <w:separator/>
      </w:r>
    </w:p>
  </w:footnote>
  <w:footnote w:type="continuationSeparator" w:id="0">
    <w:p w:rsidR="00084E83" w:rsidRDefault="00084E83" w:rsidP="009C7B19">
      <w:pPr>
        <w:spacing w:after="0" w:line="240" w:lineRule="auto"/>
      </w:pPr>
      <w:r>
        <w:continuationSeparator/>
      </w:r>
    </w:p>
  </w:footnote>
  <w:footnote w:id="1">
    <w:p w:rsidR="009C7B19" w:rsidRPr="009C7B19" w:rsidRDefault="009C7B19" w:rsidP="009C7B19">
      <w:pPr>
        <w:pStyle w:val="Textonotapie"/>
        <w:rPr>
          <w:rFonts w:ascii="Times New Roman" w:hAnsi="Times New Roman"/>
          <w:color w:val="0000FF"/>
          <w:sz w:val="16"/>
          <w:szCs w:val="16"/>
          <w:u w:val="single"/>
          <w:shd w:val="clear" w:color="auto" w:fill="FFFFFF"/>
        </w:rPr>
      </w:pPr>
      <w:r w:rsidRPr="009C7B19">
        <w:rPr>
          <w:rStyle w:val="Refdenotaalpie"/>
          <w:rFonts w:ascii="Times New Roman" w:hAnsi="Times New Roman"/>
          <w:sz w:val="16"/>
          <w:szCs w:val="16"/>
        </w:rPr>
        <w:footnoteRef/>
      </w:r>
      <w:r w:rsidRPr="009C7B19">
        <w:rPr>
          <w:rFonts w:ascii="Times New Roman" w:hAnsi="Times New Roman"/>
          <w:sz w:val="16"/>
          <w:szCs w:val="16"/>
        </w:rPr>
        <w:t xml:space="preserve"> </w:t>
      </w:r>
      <w:r w:rsidRPr="009C7B19">
        <w:rPr>
          <w:rStyle w:val="Textoennegrita"/>
          <w:rFonts w:ascii="Times New Roman" w:hAnsi="Times New Roman"/>
          <w:b w:val="0"/>
          <w:color w:val="000000"/>
          <w:sz w:val="16"/>
          <w:szCs w:val="16"/>
          <w:shd w:val="clear" w:color="auto" w:fill="FFFFFF"/>
        </w:rPr>
        <w:t>Ley 1474 de 2011, Por la cual se dictan normas orientadas a fortalecer los mecanismos de prevención, investigación y sanción de actos de corrupción y la efectividad del control de la gestión pública. Congreso de Colombia</w:t>
      </w:r>
      <w:r w:rsidRPr="009C7B19">
        <w:rPr>
          <w:rStyle w:val="Textoennegrita"/>
          <w:rFonts w:ascii="Times New Roman" w:hAnsi="Times New Roman"/>
          <w:color w:val="000000"/>
          <w:sz w:val="16"/>
          <w:szCs w:val="16"/>
          <w:shd w:val="clear" w:color="auto" w:fill="FFFFFF"/>
        </w:rPr>
        <w:t xml:space="preserve">. </w:t>
      </w:r>
      <w:r w:rsidRPr="009C7B19">
        <w:rPr>
          <w:rFonts w:ascii="Times New Roman" w:hAnsi="Times New Roman"/>
          <w:bCs/>
          <w:color w:val="000000"/>
          <w:sz w:val="16"/>
          <w:szCs w:val="16"/>
          <w:shd w:val="clear" w:color="auto" w:fill="FFFFFF"/>
        </w:rPr>
        <w:t>Artículo </w:t>
      </w:r>
      <w:bookmarkStart w:id="0" w:name="72"/>
      <w:r w:rsidRPr="009C7B19">
        <w:rPr>
          <w:rFonts w:ascii="Times New Roman" w:hAnsi="Times New Roman"/>
          <w:bCs/>
          <w:color w:val="000000"/>
          <w:sz w:val="16"/>
          <w:szCs w:val="16"/>
          <w:shd w:val="clear" w:color="auto" w:fill="FFFFFF"/>
        </w:rPr>
        <w:t> </w:t>
      </w:r>
      <w:bookmarkEnd w:id="0"/>
      <w:r w:rsidRPr="009C7B19">
        <w:rPr>
          <w:rFonts w:ascii="Times New Roman" w:hAnsi="Times New Roman"/>
          <w:bCs/>
          <w:color w:val="000000"/>
          <w:sz w:val="16"/>
          <w:szCs w:val="16"/>
          <w:shd w:val="clear" w:color="auto" w:fill="FFFFFF"/>
        </w:rPr>
        <w:t>72.</w:t>
      </w:r>
      <w:r w:rsidRPr="009C7B19">
        <w:rPr>
          <w:rStyle w:val="apple-converted-space"/>
          <w:rFonts w:ascii="Times New Roman" w:hAnsi="Times New Roman"/>
          <w:bCs/>
          <w:color w:val="000000"/>
          <w:sz w:val="16"/>
          <w:szCs w:val="16"/>
          <w:shd w:val="clear" w:color="auto" w:fill="FFFFFF"/>
        </w:rPr>
        <w:t> </w:t>
      </w:r>
      <w:r w:rsidRPr="009C7B19">
        <w:rPr>
          <w:rFonts w:ascii="Times New Roman" w:hAnsi="Times New Roman"/>
          <w:bCs/>
          <w:iCs/>
          <w:color w:val="000000"/>
          <w:sz w:val="16"/>
          <w:szCs w:val="16"/>
          <w:shd w:val="clear" w:color="auto" w:fill="FFFFFF"/>
        </w:rPr>
        <w:t>Funciones del Programa Presidencial de Modernización, Eficiencia, Transparencia y Lucha contra la Corrupción</w:t>
      </w:r>
      <w:r>
        <w:rPr>
          <w:rFonts w:ascii="Times New Roman" w:hAnsi="Times New Roman"/>
          <w:bCs/>
          <w:iCs/>
          <w:color w:val="000000"/>
          <w:sz w:val="16"/>
          <w:szCs w:val="16"/>
          <w:shd w:val="clear" w:color="auto" w:fill="FFFFFF"/>
        </w:rPr>
        <w:t xml:space="preserve">. Fuente: </w:t>
      </w:r>
      <w:hyperlink r:id="rId1" w:history="1">
        <w:r w:rsidRPr="009C7B19">
          <w:rPr>
            <w:rStyle w:val="Hipervnculo"/>
            <w:rFonts w:ascii="Times New Roman" w:hAnsi="Times New Roman"/>
            <w:sz w:val="16"/>
            <w:szCs w:val="16"/>
            <w:shd w:val="clear" w:color="auto" w:fill="FFFFFF"/>
          </w:rPr>
          <w:t>http://www.alcaldiabogota.gov.co/sisjur/normas/Norma1.jsp?i=43292</w:t>
        </w:r>
      </w:hyperlink>
    </w:p>
  </w:footnote>
  <w:footnote w:id="2">
    <w:p w:rsidR="009C7B19" w:rsidRPr="00BC114C" w:rsidRDefault="009C7B19" w:rsidP="009C7B19">
      <w:pPr>
        <w:pStyle w:val="pa7"/>
        <w:shd w:val="clear" w:color="auto" w:fill="FFFFFF"/>
        <w:spacing w:before="0" w:beforeAutospacing="0" w:after="0" w:afterAutospacing="0"/>
        <w:jc w:val="both"/>
        <w:rPr>
          <w:b/>
          <w:sz w:val="16"/>
          <w:szCs w:val="16"/>
        </w:rPr>
      </w:pPr>
      <w:r w:rsidRPr="009C7B19">
        <w:rPr>
          <w:rStyle w:val="Refdenotaalpie"/>
          <w:sz w:val="16"/>
          <w:szCs w:val="16"/>
        </w:rPr>
        <w:footnoteRef/>
      </w:r>
      <w:r w:rsidRPr="009C7B19">
        <w:rPr>
          <w:bCs/>
          <w:color w:val="221E1F"/>
          <w:sz w:val="16"/>
          <w:szCs w:val="16"/>
          <w:shd w:val="clear" w:color="auto" w:fill="FFFFFF"/>
        </w:rPr>
        <w:t xml:space="preserve">Ley Estatutaria 1757 De 2015 </w:t>
      </w:r>
      <w:r w:rsidRPr="009C7B19">
        <w:rPr>
          <w:rStyle w:val="a0"/>
          <w:bCs/>
          <w:color w:val="161616"/>
          <w:sz w:val="16"/>
          <w:szCs w:val="16"/>
        </w:rPr>
        <w:t>Artículo52.</w:t>
      </w:r>
      <w:r w:rsidRPr="009C7B19">
        <w:rPr>
          <w:rStyle w:val="apple-converted-space"/>
          <w:bCs/>
          <w:color w:val="161616"/>
          <w:sz w:val="16"/>
          <w:szCs w:val="16"/>
        </w:rPr>
        <w:t xml:space="preserve">  </w:t>
      </w:r>
      <w:r w:rsidRPr="009C7B19">
        <w:rPr>
          <w:rStyle w:val="a0"/>
          <w:bCs/>
          <w:iCs/>
          <w:color w:val="161616"/>
          <w:sz w:val="16"/>
          <w:szCs w:val="16"/>
        </w:rPr>
        <w:t>Estrategia De Rendición De Cuentas.</w:t>
      </w:r>
      <w:r>
        <w:rPr>
          <w:rStyle w:val="a0"/>
          <w:bCs/>
          <w:iCs/>
          <w:color w:val="161616"/>
          <w:sz w:val="16"/>
          <w:szCs w:val="16"/>
        </w:rPr>
        <w:t xml:space="preserve"> Fuente:</w:t>
      </w:r>
      <w:r w:rsidRPr="009C7B19">
        <w:rPr>
          <w:rStyle w:val="apple-converted-space"/>
          <w:bCs/>
          <w:iCs/>
          <w:color w:val="161616"/>
          <w:sz w:val="16"/>
          <w:szCs w:val="16"/>
        </w:rPr>
        <w:t> </w:t>
      </w:r>
      <w:r w:rsidRPr="009C7B19">
        <w:rPr>
          <w:sz w:val="16"/>
          <w:szCs w:val="16"/>
        </w:rPr>
        <w:t xml:space="preserve"> </w:t>
      </w:r>
      <w:hyperlink r:id="rId2" w:history="1">
        <w:r w:rsidRPr="00FC3D6D">
          <w:rPr>
            <w:rStyle w:val="Hipervnculo"/>
            <w:bCs/>
            <w:sz w:val="16"/>
            <w:szCs w:val="16"/>
            <w:shd w:val="clear" w:color="auto" w:fill="FFFFFF"/>
          </w:rPr>
          <w:t>http://www.alcaldiabogota.gov.co/sisjur/normas/Norma1.jsp?i=62230</w:t>
        </w:r>
      </w:hyperlink>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37AF9"/>
    <w:multiLevelType w:val="hybridMultilevel"/>
    <w:tmpl w:val="D4160AD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
    <w:nsid w:val="0CE8527A"/>
    <w:multiLevelType w:val="hybridMultilevel"/>
    <w:tmpl w:val="C39E35BA"/>
    <w:lvl w:ilvl="0" w:tplc="A97EDCD0">
      <w:start w:val="1"/>
      <w:numFmt w:val="bullet"/>
      <w:lvlText w:val=""/>
      <w:lvlJc w:val="left"/>
      <w:pPr>
        <w:tabs>
          <w:tab w:val="num" w:pos="720"/>
        </w:tabs>
        <w:ind w:left="720" w:hanging="360"/>
      </w:pPr>
      <w:rPr>
        <w:rFonts w:ascii="Wingdings" w:hAnsi="Wingdings" w:hint="default"/>
      </w:rPr>
    </w:lvl>
    <w:lvl w:ilvl="1" w:tplc="94E0E4B8" w:tentative="1">
      <w:start w:val="1"/>
      <w:numFmt w:val="bullet"/>
      <w:lvlText w:val=""/>
      <w:lvlJc w:val="left"/>
      <w:pPr>
        <w:tabs>
          <w:tab w:val="num" w:pos="1440"/>
        </w:tabs>
        <w:ind w:left="1440" w:hanging="360"/>
      </w:pPr>
      <w:rPr>
        <w:rFonts w:ascii="Wingdings" w:hAnsi="Wingdings" w:hint="default"/>
      </w:rPr>
    </w:lvl>
    <w:lvl w:ilvl="2" w:tplc="1C2896D8" w:tentative="1">
      <w:start w:val="1"/>
      <w:numFmt w:val="bullet"/>
      <w:lvlText w:val=""/>
      <w:lvlJc w:val="left"/>
      <w:pPr>
        <w:tabs>
          <w:tab w:val="num" w:pos="2160"/>
        </w:tabs>
        <w:ind w:left="2160" w:hanging="360"/>
      </w:pPr>
      <w:rPr>
        <w:rFonts w:ascii="Wingdings" w:hAnsi="Wingdings" w:hint="default"/>
      </w:rPr>
    </w:lvl>
    <w:lvl w:ilvl="3" w:tplc="437408B0" w:tentative="1">
      <w:start w:val="1"/>
      <w:numFmt w:val="bullet"/>
      <w:lvlText w:val=""/>
      <w:lvlJc w:val="left"/>
      <w:pPr>
        <w:tabs>
          <w:tab w:val="num" w:pos="2880"/>
        </w:tabs>
        <w:ind w:left="2880" w:hanging="360"/>
      </w:pPr>
      <w:rPr>
        <w:rFonts w:ascii="Wingdings" w:hAnsi="Wingdings" w:hint="default"/>
      </w:rPr>
    </w:lvl>
    <w:lvl w:ilvl="4" w:tplc="AD0AEDC2" w:tentative="1">
      <w:start w:val="1"/>
      <w:numFmt w:val="bullet"/>
      <w:lvlText w:val=""/>
      <w:lvlJc w:val="left"/>
      <w:pPr>
        <w:tabs>
          <w:tab w:val="num" w:pos="3600"/>
        </w:tabs>
        <w:ind w:left="3600" w:hanging="360"/>
      </w:pPr>
      <w:rPr>
        <w:rFonts w:ascii="Wingdings" w:hAnsi="Wingdings" w:hint="default"/>
      </w:rPr>
    </w:lvl>
    <w:lvl w:ilvl="5" w:tplc="E8C68D08" w:tentative="1">
      <w:start w:val="1"/>
      <w:numFmt w:val="bullet"/>
      <w:lvlText w:val=""/>
      <w:lvlJc w:val="left"/>
      <w:pPr>
        <w:tabs>
          <w:tab w:val="num" w:pos="4320"/>
        </w:tabs>
        <w:ind w:left="4320" w:hanging="360"/>
      </w:pPr>
      <w:rPr>
        <w:rFonts w:ascii="Wingdings" w:hAnsi="Wingdings" w:hint="default"/>
      </w:rPr>
    </w:lvl>
    <w:lvl w:ilvl="6" w:tplc="D4D20B2E" w:tentative="1">
      <w:start w:val="1"/>
      <w:numFmt w:val="bullet"/>
      <w:lvlText w:val=""/>
      <w:lvlJc w:val="left"/>
      <w:pPr>
        <w:tabs>
          <w:tab w:val="num" w:pos="5040"/>
        </w:tabs>
        <w:ind w:left="5040" w:hanging="360"/>
      </w:pPr>
      <w:rPr>
        <w:rFonts w:ascii="Wingdings" w:hAnsi="Wingdings" w:hint="default"/>
      </w:rPr>
    </w:lvl>
    <w:lvl w:ilvl="7" w:tplc="52BA2DFA" w:tentative="1">
      <w:start w:val="1"/>
      <w:numFmt w:val="bullet"/>
      <w:lvlText w:val=""/>
      <w:lvlJc w:val="left"/>
      <w:pPr>
        <w:tabs>
          <w:tab w:val="num" w:pos="5760"/>
        </w:tabs>
        <w:ind w:left="5760" w:hanging="360"/>
      </w:pPr>
      <w:rPr>
        <w:rFonts w:ascii="Wingdings" w:hAnsi="Wingdings" w:hint="default"/>
      </w:rPr>
    </w:lvl>
    <w:lvl w:ilvl="8" w:tplc="3D92935E" w:tentative="1">
      <w:start w:val="1"/>
      <w:numFmt w:val="bullet"/>
      <w:lvlText w:val=""/>
      <w:lvlJc w:val="left"/>
      <w:pPr>
        <w:tabs>
          <w:tab w:val="num" w:pos="6480"/>
        </w:tabs>
        <w:ind w:left="6480" w:hanging="360"/>
      </w:pPr>
      <w:rPr>
        <w:rFonts w:ascii="Wingdings" w:hAnsi="Wingdings" w:hint="default"/>
      </w:rPr>
    </w:lvl>
  </w:abstractNum>
  <w:abstractNum w:abstractNumId="2">
    <w:nsid w:val="13C92D6F"/>
    <w:multiLevelType w:val="hybridMultilevel"/>
    <w:tmpl w:val="0778C2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1B071E35"/>
    <w:multiLevelType w:val="hybridMultilevel"/>
    <w:tmpl w:val="35D46A3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267B7400"/>
    <w:multiLevelType w:val="hybridMultilevel"/>
    <w:tmpl w:val="D8CE0B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28587924"/>
    <w:multiLevelType w:val="hybridMultilevel"/>
    <w:tmpl w:val="3BB4BE82"/>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29247C6D"/>
    <w:multiLevelType w:val="hybridMultilevel"/>
    <w:tmpl w:val="17625BB6"/>
    <w:lvl w:ilvl="0" w:tplc="0CA46B98">
      <w:numFmt w:val="bullet"/>
      <w:lvlText w:val="-"/>
      <w:lvlJc w:val="left"/>
      <w:pPr>
        <w:ind w:left="405" w:hanging="360"/>
      </w:pPr>
      <w:rPr>
        <w:rFonts w:ascii="Calibri" w:eastAsiaTheme="minorHAnsi" w:hAnsi="Calibri" w:cstheme="minorBidi" w:hint="default"/>
      </w:rPr>
    </w:lvl>
    <w:lvl w:ilvl="1" w:tplc="240A0003" w:tentative="1">
      <w:start w:val="1"/>
      <w:numFmt w:val="bullet"/>
      <w:lvlText w:val="o"/>
      <w:lvlJc w:val="left"/>
      <w:pPr>
        <w:ind w:left="1125" w:hanging="360"/>
      </w:pPr>
      <w:rPr>
        <w:rFonts w:ascii="Courier New" w:hAnsi="Courier New" w:cs="Courier New" w:hint="default"/>
      </w:rPr>
    </w:lvl>
    <w:lvl w:ilvl="2" w:tplc="240A0005" w:tentative="1">
      <w:start w:val="1"/>
      <w:numFmt w:val="bullet"/>
      <w:lvlText w:val=""/>
      <w:lvlJc w:val="left"/>
      <w:pPr>
        <w:ind w:left="1845" w:hanging="360"/>
      </w:pPr>
      <w:rPr>
        <w:rFonts w:ascii="Wingdings" w:hAnsi="Wingdings" w:hint="default"/>
      </w:rPr>
    </w:lvl>
    <w:lvl w:ilvl="3" w:tplc="240A0001" w:tentative="1">
      <w:start w:val="1"/>
      <w:numFmt w:val="bullet"/>
      <w:lvlText w:val=""/>
      <w:lvlJc w:val="left"/>
      <w:pPr>
        <w:ind w:left="2565" w:hanging="360"/>
      </w:pPr>
      <w:rPr>
        <w:rFonts w:ascii="Symbol" w:hAnsi="Symbol" w:hint="default"/>
      </w:rPr>
    </w:lvl>
    <w:lvl w:ilvl="4" w:tplc="240A0003" w:tentative="1">
      <w:start w:val="1"/>
      <w:numFmt w:val="bullet"/>
      <w:lvlText w:val="o"/>
      <w:lvlJc w:val="left"/>
      <w:pPr>
        <w:ind w:left="3285" w:hanging="360"/>
      </w:pPr>
      <w:rPr>
        <w:rFonts w:ascii="Courier New" w:hAnsi="Courier New" w:cs="Courier New" w:hint="default"/>
      </w:rPr>
    </w:lvl>
    <w:lvl w:ilvl="5" w:tplc="240A0005" w:tentative="1">
      <w:start w:val="1"/>
      <w:numFmt w:val="bullet"/>
      <w:lvlText w:val=""/>
      <w:lvlJc w:val="left"/>
      <w:pPr>
        <w:ind w:left="4005" w:hanging="360"/>
      </w:pPr>
      <w:rPr>
        <w:rFonts w:ascii="Wingdings" w:hAnsi="Wingdings" w:hint="default"/>
      </w:rPr>
    </w:lvl>
    <w:lvl w:ilvl="6" w:tplc="240A0001" w:tentative="1">
      <w:start w:val="1"/>
      <w:numFmt w:val="bullet"/>
      <w:lvlText w:val=""/>
      <w:lvlJc w:val="left"/>
      <w:pPr>
        <w:ind w:left="4725" w:hanging="360"/>
      </w:pPr>
      <w:rPr>
        <w:rFonts w:ascii="Symbol" w:hAnsi="Symbol" w:hint="default"/>
      </w:rPr>
    </w:lvl>
    <w:lvl w:ilvl="7" w:tplc="240A0003" w:tentative="1">
      <w:start w:val="1"/>
      <w:numFmt w:val="bullet"/>
      <w:lvlText w:val="o"/>
      <w:lvlJc w:val="left"/>
      <w:pPr>
        <w:ind w:left="5445" w:hanging="360"/>
      </w:pPr>
      <w:rPr>
        <w:rFonts w:ascii="Courier New" w:hAnsi="Courier New" w:cs="Courier New" w:hint="default"/>
      </w:rPr>
    </w:lvl>
    <w:lvl w:ilvl="8" w:tplc="240A0005" w:tentative="1">
      <w:start w:val="1"/>
      <w:numFmt w:val="bullet"/>
      <w:lvlText w:val=""/>
      <w:lvlJc w:val="left"/>
      <w:pPr>
        <w:ind w:left="6165" w:hanging="360"/>
      </w:pPr>
      <w:rPr>
        <w:rFonts w:ascii="Wingdings" w:hAnsi="Wingdings" w:hint="default"/>
      </w:rPr>
    </w:lvl>
  </w:abstractNum>
  <w:abstractNum w:abstractNumId="7">
    <w:nsid w:val="2F174068"/>
    <w:multiLevelType w:val="multilevel"/>
    <w:tmpl w:val="400436D0"/>
    <w:lvl w:ilvl="0">
      <w:start w:val="1"/>
      <w:numFmt w:val="decimal"/>
      <w:lvlText w:val="%1."/>
      <w:lvlJc w:val="left"/>
      <w:pPr>
        <w:ind w:left="720" w:hanging="360"/>
      </w:pPr>
      <w:rPr>
        <w:rFonts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nsid w:val="31BF343C"/>
    <w:multiLevelType w:val="hybridMultilevel"/>
    <w:tmpl w:val="1AB4AD74"/>
    <w:lvl w:ilvl="0" w:tplc="7036417E">
      <w:start w:val="2"/>
      <w:numFmt w:val="bullet"/>
      <w:lvlText w:val="-"/>
      <w:lvlJc w:val="left"/>
      <w:pPr>
        <w:ind w:left="108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3415487D"/>
    <w:multiLevelType w:val="hybridMultilevel"/>
    <w:tmpl w:val="3A58A0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35DE3FEF"/>
    <w:multiLevelType w:val="hybridMultilevel"/>
    <w:tmpl w:val="11B0FF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3E644ABA"/>
    <w:multiLevelType w:val="hybridMultilevel"/>
    <w:tmpl w:val="6002ABE2"/>
    <w:lvl w:ilvl="0" w:tplc="482AC7D8">
      <w:start w:val="6"/>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404F4DAF"/>
    <w:multiLevelType w:val="hybridMultilevel"/>
    <w:tmpl w:val="DADA70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442F001B"/>
    <w:multiLevelType w:val="hybridMultilevel"/>
    <w:tmpl w:val="EEA49088"/>
    <w:lvl w:ilvl="0" w:tplc="7036417E">
      <w:start w:val="2"/>
      <w:numFmt w:val="bullet"/>
      <w:lvlText w:val="-"/>
      <w:lvlJc w:val="left"/>
      <w:pPr>
        <w:ind w:left="1080" w:hanging="360"/>
      </w:pPr>
      <w:rPr>
        <w:rFonts w:ascii="Calibri" w:eastAsiaTheme="minorHAnsi" w:hAnsi="Calibri" w:cs="Calibri"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4">
    <w:nsid w:val="4A893F58"/>
    <w:multiLevelType w:val="multilevel"/>
    <w:tmpl w:val="409C364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56067B85"/>
    <w:multiLevelType w:val="hybridMultilevel"/>
    <w:tmpl w:val="1242D85C"/>
    <w:lvl w:ilvl="0" w:tplc="050CD5C8">
      <w:start w:val="1"/>
      <w:numFmt w:val="bullet"/>
      <w:lvlText w:val="-"/>
      <w:lvlJc w:val="left"/>
      <w:pPr>
        <w:ind w:left="720" w:hanging="360"/>
      </w:pPr>
      <w:rPr>
        <w:rFonts w:ascii="Calibri" w:eastAsiaTheme="minorHAnsi" w:hAnsi="Calibri"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590E2815"/>
    <w:multiLevelType w:val="hybridMultilevel"/>
    <w:tmpl w:val="AEF0D1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594E462A"/>
    <w:multiLevelType w:val="hybridMultilevel"/>
    <w:tmpl w:val="F27C132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605A1DC4"/>
    <w:multiLevelType w:val="hybridMultilevel"/>
    <w:tmpl w:val="4D2AA3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60711A0D"/>
    <w:multiLevelType w:val="multilevel"/>
    <w:tmpl w:val="409C364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66E353A4"/>
    <w:multiLevelType w:val="multilevel"/>
    <w:tmpl w:val="05CA507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70B93587"/>
    <w:multiLevelType w:val="hybridMultilevel"/>
    <w:tmpl w:val="B678C38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nsid w:val="7A057417"/>
    <w:multiLevelType w:val="hybridMultilevel"/>
    <w:tmpl w:val="AF0E51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0"/>
  </w:num>
  <w:num w:numId="2">
    <w:abstractNumId w:val="0"/>
  </w:num>
  <w:num w:numId="3">
    <w:abstractNumId w:val="14"/>
  </w:num>
  <w:num w:numId="4">
    <w:abstractNumId w:val="5"/>
  </w:num>
  <w:num w:numId="5">
    <w:abstractNumId w:val="21"/>
  </w:num>
  <w:num w:numId="6">
    <w:abstractNumId w:val="3"/>
  </w:num>
  <w:num w:numId="7">
    <w:abstractNumId w:val="22"/>
  </w:num>
  <w:num w:numId="8">
    <w:abstractNumId w:val="17"/>
  </w:num>
  <w:num w:numId="9">
    <w:abstractNumId w:val="6"/>
  </w:num>
  <w:num w:numId="10">
    <w:abstractNumId w:val="15"/>
  </w:num>
  <w:num w:numId="11">
    <w:abstractNumId w:val="1"/>
  </w:num>
  <w:num w:numId="12">
    <w:abstractNumId w:val="11"/>
  </w:num>
  <w:num w:numId="13">
    <w:abstractNumId w:val="7"/>
  </w:num>
  <w:num w:numId="14">
    <w:abstractNumId w:val="10"/>
  </w:num>
  <w:num w:numId="15">
    <w:abstractNumId w:val="13"/>
  </w:num>
  <w:num w:numId="16">
    <w:abstractNumId w:val="8"/>
  </w:num>
  <w:num w:numId="17">
    <w:abstractNumId w:val="9"/>
  </w:num>
  <w:num w:numId="18">
    <w:abstractNumId w:val="2"/>
  </w:num>
  <w:num w:numId="19">
    <w:abstractNumId w:val="16"/>
  </w:num>
  <w:num w:numId="20">
    <w:abstractNumId w:val="19"/>
  </w:num>
  <w:num w:numId="21">
    <w:abstractNumId w:val="12"/>
  </w:num>
  <w:num w:numId="22">
    <w:abstractNumId w:val="18"/>
  </w:num>
  <w:num w:numId="2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657F2F"/>
    <w:rsid w:val="00021AB0"/>
    <w:rsid w:val="00071096"/>
    <w:rsid w:val="000813B8"/>
    <w:rsid w:val="00084E83"/>
    <w:rsid w:val="00085256"/>
    <w:rsid w:val="000C0292"/>
    <w:rsid w:val="000D3AD9"/>
    <w:rsid w:val="000F4E0E"/>
    <w:rsid w:val="00107879"/>
    <w:rsid w:val="00123871"/>
    <w:rsid w:val="00124DA3"/>
    <w:rsid w:val="00130CB9"/>
    <w:rsid w:val="00151850"/>
    <w:rsid w:val="00165E24"/>
    <w:rsid w:val="00176583"/>
    <w:rsid w:val="001A1D2A"/>
    <w:rsid w:val="001A2F4C"/>
    <w:rsid w:val="001A5F76"/>
    <w:rsid w:val="00201274"/>
    <w:rsid w:val="0024335E"/>
    <w:rsid w:val="00261E90"/>
    <w:rsid w:val="002757F0"/>
    <w:rsid w:val="002972D5"/>
    <w:rsid w:val="002E08E8"/>
    <w:rsid w:val="002E7187"/>
    <w:rsid w:val="0030439B"/>
    <w:rsid w:val="00311149"/>
    <w:rsid w:val="0033056C"/>
    <w:rsid w:val="00341B11"/>
    <w:rsid w:val="00351437"/>
    <w:rsid w:val="0036542D"/>
    <w:rsid w:val="00396117"/>
    <w:rsid w:val="003E17A0"/>
    <w:rsid w:val="004027C6"/>
    <w:rsid w:val="00411AD3"/>
    <w:rsid w:val="00415DC5"/>
    <w:rsid w:val="004176D0"/>
    <w:rsid w:val="004217E4"/>
    <w:rsid w:val="00436BA6"/>
    <w:rsid w:val="004543E0"/>
    <w:rsid w:val="00457478"/>
    <w:rsid w:val="0047031C"/>
    <w:rsid w:val="004978CF"/>
    <w:rsid w:val="004A35B6"/>
    <w:rsid w:val="004B4CCA"/>
    <w:rsid w:val="004C2042"/>
    <w:rsid w:val="004D1E57"/>
    <w:rsid w:val="004E1BB0"/>
    <w:rsid w:val="004E2917"/>
    <w:rsid w:val="004E3825"/>
    <w:rsid w:val="004E52C4"/>
    <w:rsid w:val="004E72B2"/>
    <w:rsid w:val="00521036"/>
    <w:rsid w:val="00523DF0"/>
    <w:rsid w:val="005321CF"/>
    <w:rsid w:val="00533BF4"/>
    <w:rsid w:val="00536AEC"/>
    <w:rsid w:val="00546D38"/>
    <w:rsid w:val="00566118"/>
    <w:rsid w:val="00581332"/>
    <w:rsid w:val="005B2617"/>
    <w:rsid w:val="005C2BE6"/>
    <w:rsid w:val="005E4C0F"/>
    <w:rsid w:val="00614A58"/>
    <w:rsid w:val="006426E7"/>
    <w:rsid w:val="00656DA0"/>
    <w:rsid w:val="00657F2F"/>
    <w:rsid w:val="006D5748"/>
    <w:rsid w:val="006F62FC"/>
    <w:rsid w:val="00746D01"/>
    <w:rsid w:val="00752557"/>
    <w:rsid w:val="00764741"/>
    <w:rsid w:val="007657BD"/>
    <w:rsid w:val="0078104C"/>
    <w:rsid w:val="007A5E23"/>
    <w:rsid w:val="007B0963"/>
    <w:rsid w:val="007C2DB3"/>
    <w:rsid w:val="007D0374"/>
    <w:rsid w:val="008034B5"/>
    <w:rsid w:val="00825E4F"/>
    <w:rsid w:val="0084184F"/>
    <w:rsid w:val="008418A4"/>
    <w:rsid w:val="00852DF2"/>
    <w:rsid w:val="008B15CD"/>
    <w:rsid w:val="008B6A00"/>
    <w:rsid w:val="008D1350"/>
    <w:rsid w:val="008D1ACE"/>
    <w:rsid w:val="00911C80"/>
    <w:rsid w:val="00962C35"/>
    <w:rsid w:val="0096463B"/>
    <w:rsid w:val="0097291A"/>
    <w:rsid w:val="009C7B19"/>
    <w:rsid w:val="00A0415B"/>
    <w:rsid w:val="00A07C87"/>
    <w:rsid w:val="00A171CB"/>
    <w:rsid w:val="00A477F9"/>
    <w:rsid w:val="00A5020D"/>
    <w:rsid w:val="00A55364"/>
    <w:rsid w:val="00A86201"/>
    <w:rsid w:val="00A908A2"/>
    <w:rsid w:val="00AA0CB6"/>
    <w:rsid w:val="00AD63AA"/>
    <w:rsid w:val="00B07D5F"/>
    <w:rsid w:val="00B25A35"/>
    <w:rsid w:val="00B42A80"/>
    <w:rsid w:val="00B43B7F"/>
    <w:rsid w:val="00B63FF1"/>
    <w:rsid w:val="00B96F54"/>
    <w:rsid w:val="00BC4928"/>
    <w:rsid w:val="00BD3075"/>
    <w:rsid w:val="00BF0725"/>
    <w:rsid w:val="00C045DF"/>
    <w:rsid w:val="00C2361E"/>
    <w:rsid w:val="00C61970"/>
    <w:rsid w:val="00C66ECE"/>
    <w:rsid w:val="00C6728A"/>
    <w:rsid w:val="00CA5CDA"/>
    <w:rsid w:val="00CD4278"/>
    <w:rsid w:val="00CD7A40"/>
    <w:rsid w:val="00CE68B0"/>
    <w:rsid w:val="00CF0EC9"/>
    <w:rsid w:val="00D10791"/>
    <w:rsid w:val="00D6665E"/>
    <w:rsid w:val="00D72BF1"/>
    <w:rsid w:val="00D75522"/>
    <w:rsid w:val="00DD1B8B"/>
    <w:rsid w:val="00DD78BD"/>
    <w:rsid w:val="00E57483"/>
    <w:rsid w:val="00E72EDB"/>
    <w:rsid w:val="00E760AD"/>
    <w:rsid w:val="00E87500"/>
    <w:rsid w:val="00E93696"/>
    <w:rsid w:val="00E97A18"/>
    <w:rsid w:val="00EB059A"/>
    <w:rsid w:val="00EB65DB"/>
    <w:rsid w:val="00EC6345"/>
    <w:rsid w:val="00EF71B9"/>
    <w:rsid w:val="00F1486D"/>
    <w:rsid w:val="00F36E81"/>
    <w:rsid w:val="00F50B32"/>
    <w:rsid w:val="00F73DA2"/>
    <w:rsid w:val="00F76629"/>
    <w:rsid w:val="00F82695"/>
    <w:rsid w:val="00FC377D"/>
    <w:rsid w:val="00FE05ED"/>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13B8"/>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6728A"/>
    <w:pPr>
      <w:ind w:left="720"/>
      <w:contextualSpacing/>
    </w:pPr>
  </w:style>
  <w:style w:type="table" w:styleId="Tablaconcuadrcula">
    <w:name w:val="Table Grid"/>
    <w:basedOn w:val="Tablanormal"/>
    <w:uiPriority w:val="39"/>
    <w:rsid w:val="007647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889552182726556831p1">
    <w:name w:val="m_-889552182726556831p1"/>
    <w:basedOn w:val="Normal"/>
    <w:rsid w:val="008B6A00"/>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m-889552182726556831s1">
    <w:name w:val="m_-889552182726556831s1"/>
    <w:basedOn w:val="Fuentedeprrafopredeter"/>
    <w:rsid w:val="008B6A00"/>
  </w:style>
  <w:style w:type="character" w:customStyle="1" w:styleId="m-889552182726556831apple-converted-space">
    <w:name w:val="m_-889552182726556831apple-converted-space"/>
    <w:basedOn w:val="Fuentedeprrafopredeter"/>
    <w:rsid w:val="008B6A00"/>
  </w:style>
  <w:style w:type="paragraph" w:styleId="Textodeglobo">
    <w:name w:val="Balloon Text"/>
    <w:basedOn w:val="Normal"/>
    <w:link w:val="TextodegloboCar"/>
    <w:uiPriority w:val="99"/>
    <w:semiHidden/>
    <w:unhideWhenUsed/>
    <w:rsid w:val="00E97A1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97A18"/>
    <w:rPr>
      <w:rFonts w:ascii="Tahoma" w:hAnsi="Tahoma" w:cs="Tahoma"/>
      <w:sz w:val="16"/>
      <w:szCs w:val="16"/>
    </w:rPr>
  </w:style>
  <w:style w:type="character" w:styleId="Hipervnculo">
    <w:name w:val="Hyperlink"/>
    <w:uiPriority w:val="99"/>
    <w:unhideWhenUsed/>
    <w:rsid w:val="009C7B19"/>
    <w:rPr>
      <w:color w:val="0000FF"/>
      <w:u w:val="single"/>
    </w:rPr>
  </w:style>
  <w:style w:type="paragraph" w:styleId="Textonotapie">
    <w:name w:val="footnote text"/>
    <w:basedOn w:val="Normal"/>
    <w:link w:val="TextonotapieCar"/>
    <w:uiPriority w:val="99"/>
    <w:semiHidden/>
    <w:unhideWhenUsed/>
    <w:rsid w:val="009C7B19"/>
    <w:pPr>
      <w:spacing w:after="0" w:line="240" w:lineRule="auto"/>
      <w:jc w:val="both"/>
    </w:pPr>
    <w:rPr>
      <w:rFonts w:ascii="Arial" w:eastAsia="Times New Roman" w:hAnsi="Arial" w:cs="Times New Roman"/>
      <w:sz w:val="20"/>
      <w:szCs w:val="20"/>
      <w:lang w:val="es-ES" w:eastAsia="es-ES"/>
    </w:rPr>
  </w:style>
  <w:style w:type="character" w:customStyle="1" w:styleId="TextonotapieCar">
    <w:name w:val="Texto nota pie Car"/>
    <w:basedOn w:val="Fuentedeprrafopredeter"/>
    <w:link w:val="Textonotapie"/>
    <w:uiPriority w:val="99"/>
    <w:semiHidden/>
    <w:rsid w:val="009C7B19"/>
    <w:rPr>
      <w:rFonts w:ascii="Arial" w:eastAsia="Times New Roman" w:hAnsi="Arial" w:cs="Times New Roman"/>
      <w:sz w:val="20"/>
      <w:szCs w:val="20"/>
      <w:lang w:val="es-ES" w:eastAsia="es-ES"/>
    </w:rPr>
  </w:style>
  <w:style w:type="character" w:styleId="Refdenotaalpie">
    <w:name w:val="footnote reference"/>
    <w:basedOn w:val="Fuentedeprrafopredeter"/>
    <w:uiPriority w:val="99"/>
    <w:semiHidden/>
    <w:unhideWhenUsed/>
    <w:rsid w:val="009C7B19"/>
    <w:rPr>
      <w:vertAlign w:val="superscript"/>
    </w:rPr>
  </w:style>
  <w:style w:type="paragraph" w:customStyle="1" w:styleId="pa7">
    <w:name w:val="pa7"/>
    <w:basedOn w:val="Normal"/>
    <w:rsid w:val="009C7B19"/>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a0">
    <w:name w:val="a0"/>
    <w:basedOn w:val="Fuentedeprrafopredeter"/>
    <w:rsid w:val="009C7B19"/>
  </w:style>
  <w:style w:type="character" w:customStyle="1" w:styleId="apple-converted-space">
    <w:name w:val="apple-converted-space"/>
    <w:basedOn w:val="Fuentedeprrafopredeter"/>
    <w:rsid w:val="009C7B19"/>
  </w:style>
  <w:style w:type="character" w:styleId="Textoennegrita">
    <w:name w:val="Strong"/>
    <w:basedOn w:val="Fuentedeprrafopredeter"/>
    <w:uiPriority w:val="22"/>
    <w:qFormat/>
    <w:rsid w:val="009C7B19"/>
    <w:rPr>
      <w:b/>
      <w:bCs/>
    </w:rPr>
  </w:style>
  <w:style w:type="paragraph" w:styleId="NormalWeb">
    <w:name w:val="Normal (Web)"/>
    <w:basedOn w:val="Normal"/>
    <w:uiPriority w:val="99"/>
    <w:semiHidden/>
    <w:unhideWhenUsed/>
    <w:rsid w:val="00E57483"/>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Encabezado">
    <w:name w:val="header"/>
    <w:basedOn w:val="Normal"/>
    <w:link w:val="EncabezadoCar"/>
    <w:uiPriority w:val="99"/>
    <w:unhideWhenUsed/>
    <w:rsid w:val="005C2BE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2BE6"/>
  </w:style>
  <w:style w:type="paragraph" w:styleId="Piedepgina">
    <w:name w:val="footer"/>
    <w:basedOn w:val="Normal"/>
    <w:link w:val="PiedepginaCar"/>
    <w:uiPriority w:val="99"/>
    <w:unhideWhenUsed/>
    <w:rsid w:val="005C2BE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2BE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6728A"/>
    <w:pPr>
      <w:ind w:left="720"/>
      <w:contextualSpacing/>
    </w:pPr>
  </w:style>
  <w:style w:type="table" w:styleId="Tablaconcuadrcula">
    <w:name w:val="Table Grid"/>
    <w:basedOn w:val="Tablanormal"/>
    <w:uiPriority w:val="39"/>
    <w:rsid w:val="007647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889552182726556831p1">
    <w:name w:val="m_-889552182726556831p1"/>
    <w:basedOn w:val="Normal"/>
    <w:rsid w:val="008B6A00"/>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m-889552182726556831s1">
    <w:name w:val="m_-889552182726556831s1"/>
    <w:basedOn w:val="Fuentedeprrafopredeter"/>
    <w:rsid w:val="008B6A00"/>
  </w:style>
  <w:style w:type="character" w:customStyle="1" w:styleId="m-889552182726556831apple-converted-space">
    <w:name w:val="m_-889552182726556831apple-converted-space"/>
    <w:basedOn w:val="Fuentedeprrafopredeter"/>
    <w:rsid w:val="008B6A00"/>
  </w:style>
  <w:style w:type="paragraph" w:styleId="Textodeglobo">
    <w:name w:val="Balloon Text"/>
    <w:basedOn w:val="Normal"/>
    <w:link w:val="TextodegloboCar"/>
    <w:uiPriority w:val="99"/>
    <w:semiHidden/>
    <w:unhideWhenUsed/>
    <w:rsid w:val="00E97A1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97A18"/>
    <w:rPr>
      <w:rFonts w:ascii="Tahoma" w:hAnsi="Tahoma" w:cs="Tahoma"/>
      <w:sz w:val="16"/>
      <w:szCs w:val="16"/>
    </w:rPr>
  </w:style>
  <w:style w:type="character" w:styleId="Hipervnculo">
    <w:name w:val="Hyperlink"/>
    <w:uiPriority w:val="99"/>
    <w:unhideWhenUsed/>
    <w:rsid w:val="009C7B19"/>
    <w:rPr>
      <w:color w:val="0000FF"/>
      <w:u w:val="single"/>
    </w:rPr>
  </w:style>
  <w:style w:type="paragraph" w:styleId="Textonotapie">
    <w:name w:val="footnote text"/>
    <w:basedOn w:val="Normal"/>
    <w:link w:val="TextonotapieCar"/>
    <w:uiPriority w:val="99"/>
    <w:semiHidden/>
    <w:unhideWhenUsed/>
    <w:rsid w:val="009C7B19"/>
    <w:pPr>
      <w:spacing w:after="0" w:line="240" w:lineRule="auto"/>
      <w:jc w:val="both"/>
    </w:pPr>
    <w:rPr>
      <w:rFonts w:ascii="Arial" w:eastAsia="Times New Roman" w:hAnsi="Arial" w:cs="Times New Roman"/>
      <w:sz w:val="20"/>
      <w:szCs w:val="20"/>
      <w:lang w:val="es-ES" w:eastAsia="es-ES"/>
    </w:rPr>
  </w:style>
  <w:style w:type="character" w:customStyle="1" w:styleId="TextonotapieCar">
    <w:name w:val="Texto nota pie Car"/>
    <w:basedOn w:val="Fuentedeprrafopredeter"/>
    <w:link w:val="Textonotapie"/>
    <w:uiPriority w:val="99"/>
    <w:semiHidden/>
    <w:rsid w:val="009C7B19"/>
    <w:rPr>
      <w:rFonts w:ascii="Arial" w:eastAsia="Times New Roman" w:hAnsi="Arial" w:cs="Times New Roman"/>
      <w:sz w:val="20"/>
      <w:szCs w:val="20"/>
      <w:lang w:val="es-ES" w:eastAsia="es-ES"/>
    </w:rPr>
  </w:style>
  <w:style w:type="character" w:styleId="Refdenotaalpie">
    <w:name w:val="footnote reference"/>
    <w:basedOn w:val="Fuentedeprrafopredeter"/>
    <w:uiPriority w:val="99"/>
    <w:semiHidden/>
    <w:unhideWhenUsed/>
    <w:rsid w:val="009C7B19"/>
    <w:rPr>
      <w:vertAlign w:val="superscript"/>
    </w:rPr>
  </w:style>
  <w:style w:type="paragraph" w:customStyle="1" w:styleId="pa7">
    <w:name w:val="pa7"/>
    <w:basedOn w:val="Normal"/>
    <w:rsid w:val="009C7B19"/>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a0">
    <w:name w:val="a0"/>
    <w:basedOn w:val="Fuentedeprrafopredeter"/>
    <w:rsid w:val="009C7B19"/>
  </w:style>
  <w:style w:type="character" w:customStyle="1" w:styleId="apple-converted-space">
    <w:name w:val="apple-converted-space"/>
    <w:basedOn w:val="Fuentedeprrafopredeter"/>
    <w:rsid w:val="009C7B19"/>
  </w:style>
  <w:style w:type="character" w:styleId="Textoennegrita">
    <w:name w:val="Strong"/>
    <w:basedOn w:val="Fuentedeprrafopredeter"/>
    <w:uiPriority w:val="22"/>
    <w:qFormat/>
    <w:rsid w:val="009C7B19"/>
    <w:rPr>
      <w:b/>
      <w:bCs/>
    </w:rPr>
  </w:style>
  <w:style w:type="paragraph" w:styleId="NormalWeb">
    <w:name w:val="Normal (Web)"/>
    <w:basedOn w:val="Normal"/>
    <w:uiPriority w:val="99"/>
    <w:semiHidden/>
    <w:unhideWhenUsed/>
    <w:rsid w:val="00E57483"/>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Encabezado">
    <w:name w:val="header"/>
    <w:basedOn w:val="Normal"/>
    <w:link w:val="EncabezadoCar"/>
    <w:uiPriority w:val="99"/>
    <w:unhideWhenUsed/>
    <w:rsid w:val="005C2BE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2BE6"/>
  </w:style>
  <w:style w:type="paragraph" w:styleId="Piedepgina">
    <w:name w:val="footer"/>
    <w:basedOn w:val="Normal"/>
    <w:link w:val="PiedepginaCar"/>
    <w:uiPriority w:val="99"/>
    <w:unhideWhenUsed/>
    <w:rsid w:val="005C2BE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2BE6"/>
  </w:style>
</w:styles>
</file>

<file path=word/webSettings.xml><?xml version="1.0" encoding="utf-8"?>
<w:webSettings xmlns:r="http://schemas.openxmlformats.org/officeDocument/2006/relationships" xmlns:w="http://schemas.openxmlformats.org/wordprocessingml/2006/main">
  <w:divs>
    <w:div w:id="61685262">
      <w:bodyDiv w:val="1"/>
      <w:marLeft w:val="0"/>
      <w:marRight w:val="0"/>
      <w:marTop w:val="0"/>
      <w:marBottom w:val="0"/>
      <w:divBdr>
        <w:top w:val="none" w:sz="0" w:space="0" w:color="auto"/>
        <w:left w:val="none" w:sz="0" w:space="0" w:color="auto"/>
        <w:bottom w:val="none" w:sz="0" w:space="0" w:color="auto"/>
        <w:right w:val="none" w:sz="0" w:space="0" w:color="auto"/>
      </w:divBdr>
    </w:div>
    <w:div w:id="321081922">
      <w:bodyDiv w:val="1"/>
      <w:marLeft w:val="0"/>
      <w:marRight w:val="0"/>
      <w:marTop w:val="0"/>
      <w:marBottom w:val="0"/>
      <w:divBdr>
        <w:top w:val="none" w:sz="0" w:space="0" w:color="auto"/>
        <w:left w:val="none" w:sz="0" w:space="0" w:color="auto"/>
        <w:bottom w:val="none" w:sz="0" w:space="0" w:color="auto"/>
        <w:right w:val="none" w:sz="0" w:space="0" w:color="auto"/>
      </w:divBdr>
    </w:div>
    <w:div w:id="476727331">
      <w:bodyDiv w:val="1"/>
      <w:marLeft w:val="0"/>
      <w:marRight w:val="0"/>
      <w:marTop w:val="0"/>
      <w:marBottom w:val="0"/>
      <w:divBdr>
        <w:top w:val="none" w:sz="0" w:space="0" w:color="auto"/>
        <w:left w:val="none" w:sz="0" w:space="0" w:color="auto"/>
        <w:bottom w:val="none" w:sz="0" w:space="0" w:color="auto"/>
        <w:right w:val="none" w:sz="0" w:space="0" w:color="auto"/>
      </w:divBdr>
    </w:div>
    <w:div w:id="489296140">
      <w:bodyDiv w:val="1"/>
      <w:marLeft w:val="0"/>
      <w:marRight w:val="0"/>
      <w:marTop w:val="0"/>
      <w:marBottom w:val="0"/>
      <w:divBdr>
        <w:top w:val="none" w:sz="0" w:space="0" w:color="auto"/>
        <w:left w:val="none" w:sz="0" w:space="0" w:color="auto"/>
        <w:bottom w:val="none" w:sz="0" w:space="0" w:color="auto"/>
        <w:right w:val="none" w:sz="0" w:space="0" w:color="auto"/>
      </w:divBdr>
    </w:div>
    <w:div w:id="611522308">
      <w:bodyDiv w:val="1"/>
      <w:marLeft w:val="0"/>
      <w:marRight w:val="0"/>
      <w:marTop w:val="0"/>
      <w:marBottom w:val="0"/>
      <w:divBdr>
        <w:top w:val="none" w:sz="0" w:space="0" w:color="auto"/>
        <w:left w:val="none" w:sz="0" w:space="0" w:color="auto"/>
        <w:bottom w:val="none" w:sz="0" w:space="0" w:color="auto"/>
        <w:right w:val="none" w:sz="0" w:space="0" w:color="auto"/>
      </w:divBdr>
    </w:div>
    <w:div w:id="629287421">
      <w:bodyDiv w:val="1"/>
      <w:marLeft w:val="0"/>
      <w:marRight w:val="0"/>
      <w:marTop w:val="0"/>
      <w:marBottom w:val="0"/>
      <w:divBdr>
        <w:top w:val="none" w:sz="0" w:space="0" w:color="auto"/>
        <w:left w:val="none" w:sz="0" w:space="0" w:color="auto"/>
        <w:bottom w:val="none" w:sz="0" w:space="0" w:color="auto"/>
        <w:right w:val="none" w:sz="0" w:space="0" w:color="auto"/>
      </w:divBdr>
    </w:div>
    <w:div w:id="665284515">
      <w:bodyDiv w:val="1"/>
      <w:marLeft w:val="0"/>
      <w:marRight w:val="0"/>
      <w:marTop w:val="0"/>
      <w:marBottom w:val="0"/>
      <w:divBdr>
        <w:top w:val="none" w:sz="0" w:space="0" w:color="auto"/>
        <w:left w:val="none" w:sz="0" w:space="0" w:color="auto"/>
        <w:bottom w:val="none" w:sz="0" w:space="0" w:color="auto"/>
        <w:right w:val="none" w:sz="0" w:space="0" w:color="auto"/>
      </w:divBdr>
    </w:div>
    <w:div w:id="779884562">
      <w:bodyDiv w:val="1"/>
      <w:marLeft w:val="0"/>
      <w:marRight w:val="0"/>
      <w:marTop w:val="0"/>
      <w:marBottom w:val="0"/>
      <w:divBdr>
        <w:top w:val="none" w:sz="0" w:space="0" w:color="auto"/>
        <w:left w:val="none" w:sz="0" w:space="0" w:color="auto"/>
        <w:bottom w:val="none" w:sz="0" w:space="0" w:color="auto"/>
        <w:right w:val="none" w:sz="0" w:space="0" w:color="auto"/>
      </w:divBdr>
    </w:div>
    <w:div w:id="859508704">
      <w:bodyDiv w:val="1"/>
      <w:marLeft w:val="0"/>
      <w:marRight w:val="0"/>
      <w:marTop w:val="0"/>
      <w:marBottom w:val="0"/>
      <w:divBdr>
        <w:top w:val="none" w:sz="0" w:space="0" w:color="auto"/>
        <w:left w:val="none" w:sz="0" w:space="0" w:color="auto"/>
        <w:bottom w:val="none" w:sz="0" w:space="0" w:color="auto"/>
        <w:right w:val="none" w:sz="0" w:space="0" w:color="auto"/>
      </w:divBdr>
    </w:div>
    <w:div w:id="941959714">
      <w:bodyDiv w:val="1"/>
      <w:marLeft w:val="0"/>
      <w:marRight w:val="0"/>
      <w:marTop w:val="0"/>
      <w:marBottom w:val="0"/>
      <w:divBdr>
        <w:top w:val="none" w:sz="0" w:space="0" w:color="auto"/>
        <w:left w:val="none" w:sz="0" w:space="0" w:color="auto"/>
        <w:bottom w:val="none" w:sz="0" w:space="0" w:color="auto"/>
        <w:right w:val="none" w:sz="0" w:space="0" w:color="auto"/>
      </w:divBdr>
    </w:div>
    <w:div w:id="972058399">
      <w:bodyDiv w:val="1"/>
      <w:marLeft w:val="0"/>
      <w:marRight w:val="0"/>
      <w:marTop w:val="0"/>
      <w:marBottom w:val="0"/>
      <w:divBdr>
        <w:top w:val="none" w:sz="0" w:space="0" w:color="auto"/>
        <w:left w:val="none" w:sz="0" w:space="0" w:color="auto"/>
        <w:bottom w:val="none" w:sz="0" w:space="0" w:color="auto"/>
        <w:right w:val="none" w:sz="0" w:space="0" w:color="auto"/>
      </w:divBdr>
    </w:div>
    <w:div w:id="1016036815">
      <w:bodyDiv w:val="1"/>
      <w:marLeft w:val="0"/>
      <w:marRight w:val="0"/>
      <w:marTop w:val="0"/>
      <w:marBottom w:val="0"/>
      <w:divBdr>
        <w:top w:val="none" w:sz="0" w:space="0" w:color="auto"/>
        <w:left w:val="none" w:sz="0" w:space="0" w:color="auto"/>
        <w:bottom w:val="none" w:sz="0" w:space="0" w:color="auto"/>
        <w:right w:val="none" w:sz="0" w:space="0" w:color="auto"/>
      </w:divBdr>
    </w:div>
    <w:div w:id="1032340831">
      <w:bodyDiv w:val="1"/>
      <w:marLeft w:val="0"/>
      <w:marRight w:val="0"/>
      <w:marTop w:val="0"/>
      <w:marBottom w:val="0"/>
      <w:divBdr>
        <w:top w:val="none" w:sz="0" w:space="0" w:color="auto"/>
        <w:left w:val="none" w:sz="0" w:space="0" w:color="auto"/>
        <w:bottom w:val="none" w:sz="0" w:space="0" w:color="auto"/>
        <w:right w:val="none" w:sz="0" w:space="0" w:color="auto"/>
      </w:divBdr>
    </w:div>
    <w:div w:id="1143932574">
      <w:bodyDiv w:val="1"/>
      <w:marLeft w:val="0"/>
      <w:marRight w:val="0"/>
      <w:marTop w:val="0"/>
      <w:marBottom w:val="0"/>
      <w:divBdr>
        <w:top w:val="none" w:sz="0" w:space="0" w:color="auto"/>
        <w:left w:val="none" w:sz="0" w:space="0" w:color="auto"/>
        <w:bottom w:val="none" w:sz="0" w:space="0" w:color="auto"/>
        <w:right w:val="none" w:sz="0" w:space="0" w:color="auto"/>
      </w:divBdr>
    </w:div>
    <w:div w:id="1247226349">
      <w:bodyDiv w:val="1"/>
      <w:marLeft w:val="0"/>
      <w:marRight w:val="0"/>
      <w:marTop w:val="0"/>
      <w:marBottom w:val="0"/>
      <w:divBdr>
        <w:top w:val="none" w:sz="0" w:space="0" w:color="auto"/>
        <w:left w:val="none" w:sz="0" w:space="0" w:color="auto"/>
        <w:bottom w:val="none" w:sz="0" w:space="0" w:color="auto"/>
        <w:right w:val="none" w:sz="0" w:space="0" w:color="auto"/>
      </w:divBdr>
    </w:div>
    <w:div w:id="1260992455">
      <w:bodyDiv w:val="1"/>
      <w:marLeft w:val="0"/>
      <w:marRight w:val="0"/>
      <w:marTop w:val="0"/>
      <w:marBottom w:val="0"/>
      <w:divBdr>
        <w:top w:val="none" w:sz="0" w:space="0" w:color="auto"/>
        <w:left w:val="none" w:sz="0" w:space="0" w:color="auto"/>
        <w:bottom w:val="none" w:sz="0" w:space="0" w:color="auto"/>
        <w:right w:val="none" w:sz="0" w:space="0" w:color="auto"/>
      </w:divBdr>
    </w:div>
    <w:div w:id="1457985910">
      <w:bodyDiv w:val="1"/>
      <w:marLeft w:val="0"/>
      <w:marRight w:val="0"/>
      <w:marTop w:val="0"/>
      <w:marBottom w:val="0"/>
      <w:divBdr>
        <w:top w:val="none" w:sz="0" w:space="0" w:color="auto"/>
        <w:left w:val="none" w:sz="0" w:space="0" w:color="auto"/>
        <w:bottom w:val="none" w:sz="0" w:space="0" w:color="auto"/>
        <w:right w:val="none" w:sz="0" w:space="0" w:color="auto"/>
      </w:divBdr>
    </w:div>
    <w:div w:id="1471553620">
      <w:bodyDiv w:val="1"/>
      <w:marLeft w:val="0"/>
      <w:marRight w:val="0"/>
      <w:marTop w:val="0"/>
      <w:marBottom w:val="0"/>
      <w:divBdr>
        <w:top w:val="none" w:sz="0" w:space="0" w:color="auto"/>
        <w:left w:val="none" w:sz="0" w:space="0" w:color="auto"/>
        <w:bottom w:val="none" w:sz="0" w:space="0" w:color="auto"/>
        <w:right w:val="none" w:sz="0" w:space="0" w:color="auto"/>
      </w:divBdr>
    </w:div>
    <w:div w:id="1502742676">
      <w:bodyDiv w:val="1"/>
      <w:marLeft w:val="0"/>
      <w:marRight w:val="0"/>
      <w:marTop w:val="0"/>
      <w:marBottom w:val="0"/>
      <w:divBdr>
        <w:top w:val="none" w:sz="0" w:space="0" w:color="auto"/>
        <w:left w:val="none" w:sz="0" w:space="0" w:color="auto"/>
        <w:bottom w:val="none" w:sz="0" w:space="0" w:color="auto"/>
        <w:right w:val="none" w:sz="0" w:space="0" w:color="auto"/>
      </w:divBdr>
    </w:div>
    <w:div w:id="1516189773">
      <w:bodyDiv w:val="1"/>
      <w:marLeft w:val="0"/>
      <w:marRight w:val="0"/>
      <w:marTop w:val="0"/>
      <w:marBottom w:val="0"/>
      <w:divBdr>
        <w:top w:val="none" w:sz="0" w:space="0" w:color="auto"/>
        <w:left w:val="none" w:sz="0" w:space="0" w:color="auto"/>
        <w:bottom w:val="none" w:sz="0" w:space="0" w:color="auto"/>
        <w:right w:val="none" w:sz="0" w:space="0" w:color="auto"/>
      </w:divBdr>
      <w:divsChild>
        <w:div w:id="930163068">
          <w:marLeft w:val="706"/>
          <w:marRight w:val="0"/>
          <w:marTop w:val="0"/>
          <w:marBottom w:val="0"/>
          <w:divBdr>
            <w:top w:val="none" w:sz="0" w:space="0" w:color="auto"/>
            <w:left w:val="none" w:sz="0" w:space="0" w:color="auto"/>
            <w:bottom w:val="none" w:sz="0" w:space="0" w:color="auto"/>
            <w:right w:val="none" w:sz="0" w:space="0" w:color="auto"/>
          </w:divBdr>
        </w:div>
        <w:div w:id="1668437911">
          <w:marLeft w:val="706"/>
          <w:marRight w:val="0"/>
          <w:marTop w:val="0"/>
          <w:marBottom w:val="0"/>
          <w:divBdr>
            <w:top w:val="none" w:sz="0" w:space="0" w:color="auto"/>
            <w:left w:val="none" w:sz="0" w:space="0" w:color="auto"/>
            <w:bottom w:val="none" w:sz="0" w:space="0" w:color="auto"/>
            <w:right w:val="none" w:sz="0" w:space="0" w:color="auto"/>
          </w:divBdr>
        </w:div>
        <w:div w:id="1757170331">
          <w:marLeft w:val="706"/>
          <w:marRight w:val="0"/>
          <w:marTop w:val="0"/>
          <w:marBottom w:val="0"/>
          <w:divBdr>
            <w:top w:val="none" w:sz="0" w:space="0" w:color="auto"/>
            <w:left w:val="none" w:sz="0" w:space="0" w:color="auto"/>
            <w:bottom w:val="none" w:sz="0" w:space="0" w:color="auto"/>
            <w:right w:val="none" w:sz="0" w:space="0" w:color="auto"/>
          </w:divBdr>
        </w:div>
        <w:div w:id="339702794">
          <w:marLeft w:val="706"/>
          <w:marRight w:val="0"/>
          <w:marTop w:val="0"/>
          <w:marBottom w:val="0"/>
          <w:divBdr>
            <w:top w:val="none" w:sz="0" w:space="0" w:color="auto"/>
            <w:left w:val="none" w:sz="0" w:space="0" w:color="auto"/>
            <w:bottom w:val="none" w:sz="0" w:space="0" w:color="auto"/>
            <w:right w:val="none" w:sz="0" w:space="0" w:color="auto"/>
          </w:divBdr>
        </w:div>
      </w:divsChild>
    </w:div>
    <w:div w:id="1584296302">
      <w:bodyDiv w:val="1"/>
      <w:marLeft w:val="0"/>
      <w:marRight w:val="0"/>
      <w:marTop w:val="0"/>
      <w:marBottom w:val="0"/>
      <w:divBdr>
        <w:top w:val="none" w:sz="0" w:space="0" w:color="auto"/>
        <w:left w:val="none" w:sz="0" w:space="0" w:color="auto"/>
        <w:bottom w:val="none" w:sz="0" w:space="0" w:color="auto"/>
        <w:right w:val="none" w:sz="0" w:space="0" w:color="auto"/>
      </w:divBdr>
    </w:div>
    <w:div w:id="1624001167">
      <w:bodyDiv w:val="1"/>
      <w:marLeft w:val="0"/>
      <w:marRight w:val="0"/>
      <w:marTop w:val="0"/>
      <w:marBottom w:val="0"/>
      <w:divBdr>
        <w:top w:val="none" w:sz="0" w:space="0" w:color="auto"/>
        <w:left w:val="none" w:sz="0" w:space="0" w:color="auto"/>
        <w:bottom w:val="none" w:sz="0" w:space="0" w:color="auto"/>
        <w:right w:val="none" w:sz="0" w:space="0" w:color="auto"/>
      </w:divBdr>
    </w:div>
    <w:div w:id="1700935951">
      <w:bodyDiv w:val="1"/>
      <w:marLeft w:val="0"/>
      <w:marRight w:val="0"/>
      <w:marTop w:val="0"/>
      <w:marBottom w:val="0"/>
      <w:divBdr>
        <w:top w:val="none" w:sz="0" w:space="0" w:color="auto"/>
        <w:left w:val="none" w:sz="0" w:space="0" w:color="auto"/>
        <w:bottom w:val="none" w:sz="0" w:space="0" w:color="auto"/>
        <w:right w:val="none" w:sz="0" w:space="0" w:color="auto"/>
      </w:divBdr>
    </w:div>
    <w:div w:id="1725447885">
      <w:bodyDiv w:val="1"/>
      <w:marLeft w:val="0"/>
      <w:marRight w:val="0"/>
      <w:marTop w:val="0"/>
      <w:marBottom w:val="0"/>
      <w:divBdr>
        <w:top w:val="none" w:sz="0" w:space="0" w:color="auto"/>
        <w:left w:val="none" w:sz="0" w:space="0" w:color="auto"/>
        <w:bottom w:val="none" w:sz="0" w:space="0" w:color="auto"/>
        <w:right w:val="none" w:sz="0" w:space="0" w:color="auto"/>
      </w:divBdr>
    </w:div>
    <w:div w:id="1735270863">
      <w:bodyDiv w:val="1"/>
      <w:marLeft w:val="0"/>
      <w:marRight w:val="0"/>
      <w:marTop w:val="0"/>
      <w:marBottom w:val="0"/>
      <w:divBdr>
        <w:top w:val="none" w:sz="0" w:space="0" w:color="auto"/>
        <w:left w:val="none" w:sz="0" w:space="0" w:color="auto"/>
        <w:bottom w:val="none" w:sz="0" w:space="0" w:color="auto"/>
        <w:right w:val="none" w:sz="0" w:space="0" w:color="auto"/>
      </w:divBdr>
    </w:div>
    <w:div w:id="1955213587">
      <w:bodyDiv w:val="1"/>
      <w:marLeft w:val="0"/>
      <w:marRight w:val="0"/>
      <w:marTop w:val="0"/>
      <w:marBottom w:val="0"/>
      <w:divBdr>
        <w:top w:val="none" w:sz="0" w:space="0" w:color="auto"/>
        <w:left w:val="none" w:sz="0" w:space="0" w:color="auto"/>
        <w:bottom w:val="none" w:sz="0" w:space="0" w:color="auto"/>
        <w:right w:val="none" w:sz="0" w:space="0" w:color="auto"/>
      </w:divBdr>
    </w:div>
    <w:div w:id="1990283685">
      <w:bodyDiv w:val="1"/>
      <w:marLeft w:val="0"/>
      <w:marRight w:val="0"/>
      <w:marTop w:val="0"/>
      <w:marBottom w:val="0"/>
      <w:divBdr>
        <w:top w:val="none" w:sz="0" w:space="0" w:color="auto"/>
        <w:left w:val="none" w:sz="0" w:space="0" w:color="auto"/>
        <w:bottom w:val="none" w:sz="0" w:space="0" w:color="auto"/>
        <w:right w:val="none" w:sz="0" w:space="0" w:color="auto"/>
      </w:divBdr>
    </w:div>
    <w:div w:id="2065328915">
      <w:bodyDiv w:val="1"/>
      <w:marLeft w:val="0"/>
      <w:marRight w:val="0"/>
      <w:marTop w:val="0"/>
      <w:marBottom w:val="0"/>
      <w:divBdr>
        <w:top w:val="none" w:sz="0" w:space="0" w:color="auto"/>
        <w:left w:val="none" w:sz="0" w:space="0" w:color="auto"/>
        <w:bottom w:val="none" w:sz="0" w:space="0" w:color="auto"/>
        <w:right w:val="none" w:sz="0" w:space="0" w:color="auto"/>
      </w:divBdr>
    </w:div>
    <w:div w:id="2113699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rendiciondecuentas2016@idt.gov.co" TargetMode="External"/><Relationship Id="rId18" Type="http://schemas.openxmlformats.org/officeDocument/2006/relationships/image" Target="media/image9.emf"/><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image" Target="media/image16.png"/><Relationship Id="rId33"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bogotaturismo.gov.co" TargetMode="External"/><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emf"/></Relationships>
</file>

<file path=word/_rels/footnotes.xml.rels><?xml version="1.0" encoding="UTF-8" standalone="yes"?>
<Relationships xmlns="http://schemas.openxmlformats.org/package/2006/relationships"><Relationship Id="rId2" Type="http://schemas.openxmlformats.org/officeDocument/2006/relationships/hyperlink" Target="http://www.alcaldiabogota.gov.co/sisjur/normas/Norma1.jsp?i=62230" TargetMode="External"/><Relationship Id="rId1" Type="http://schemas.openxmlformats.org/officeDocument/2006/relationships/hyperlink" Target="http://www.alcaldiabogota.gov.co/sisjur/normas/Norma1.jsp?i=43292"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1386BA-9DE6-4B50-B5B2-26A9C90F10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2482</Words>
  <Characters>13656</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Ricardo Varón</dc:creator>
  <cp:lastModifiedBy>pballestas</cp:lastModifiedBy>
  <cp:revision>2</cp:revision>
  <dcterms:created xsi:type="dcterms:W3CDTF">2017-01-05T19:17:00Z</dcterms:created>
  <dcterms:modified xsi:type="dcterms:W3CDTF">2017-01-05T19:17:00Z</dcterms:modified>
</cp:coreProperties>
</file>